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embeddings/Microsoft_Excel_Worksheet.xlsx" ContentType="application/vnd.openxmlformats-officedocument.spreadsheetml.sheet"/>
  <Override PartName="/word/embeddings/Microsoft_Excel_Worksheet1.xlsx" ContentType="application/vnd.openxmlformats-officedocument.spreadsheetml.sheet"/>
  <Override PartName="/word/glossary/fontTable.xml" ContentType="application/vnd.openxmlformats-officedocument.wordprocessingml.fontTable+xml"/>
  <Override PartName="/word/glossary/_rels/document.xml.rels" ContentType="application/vnd.openxmlformats-package.relationships+xml"/>
  <Override PartName="/word/glossary/settings.xml" ContentType="application/vnd.openxmlformats-officedocument.wordprocessingml.settings+xml"/>
  <Override PartName="/word/glossary/styles.xml" ContentType="application/vnd.openxmlformats-officedocument.wordprocessingml.style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media/image19.png" ContentType="image/png"/>
  <Override PartName="/word/media/image18.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13.jpeg" ContentType="image/jpeg"/>
  <Override PartName="/word/media/image11.jpeg" ContentType="image/jpeg"/>
  <Override PartName="/word/media/image4.jpeg" ContentType="image/jpeg"/>
  <Override PartName="/word/media/image10.jpeg" ContentType="image/jpeg"/>
  <Override PartName="/word/media/image21.jpeg" ContentType="image/jpeg"/>
  <Override PartName="/word/media/image3.jpeg" ContentType="image/jpeg"/>
  <Override PartName="/word/media/image20.jpeg" ContentType="image/jpeg"/>
  <Override PartName="/word/media/image1.png" ContentType="image/png"/>
  <Override PartName="/word/media/image8.jpeg" ContentType="image/jpeg"/>
  <Override PartName="/word/media/image5.jpeg" ContentType="image/jpeg"/>
  <Override PartName="/word/media/image12.wmf" ContentType="image/x-wmf"/>
  <Override PartName="/word/media/image6.jpeg" ContentType="image/jpeg"/>
  <Override PartName="/word/media/image2.png" ContentType="image/png"/>
  <Override PartName="/word/media/image7.jpeg" ContentType="image/jpeg"/>
  <Override PartName="/word/media/image9.jpeg" ContentType="image/jpeg"/>
  <Override PartName="/word/styles.xml" ContentType="application/vnd.openxmlformats-officedocument.wordprocessingml.styles+xml"/>
  <Override PartName="/word/footer1.xml" ContentType="application/vnd.openxmlformats-officedocument.wordprocessingml.footer+xml"/>
  <Override PartName="/word/charts/chart2.xml" ContentType="application/vnd.openxmlformats-officedocument.drawingml.chart+xml"/>
  <Override PartName="/word/charts/_rels/chart2.xml.rels" ContentType="application/vnd.openxmlformats-package.relationships+xml"/>
  <Override PartName="/word/charts/_rels/chart1.xml.rels" ContentType="application/vnd.openxmlformats-package.relationships+xml"/>
  <Override PartName="/word/charts/chart1.xml" ContentType="application/vnd.openxmlformats-officedocument.drawingml.chart+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669483029"/>
      </w:sdtPr>
      <w:sdtContent>
        <w:p>
          <w:pPr>
            <w:pStyle w:val="NoSpacing"/>
            <w:spacing w:before="1540" w:after="240"/>
            <w:jc w:val="center"/>
            <w:rPr>
              <w:color w:val="4472C4" w:themeColor="accent1"/>
            </w:rPr>
          </w:pPr>
          <w:r>
            <w:rPr/>
            <w:drawing>
              <wp:inline distT="0" distB="0" distL="0" distR="0">
                <wp:extent cx="1417320" cy="751205"/>
                <wp:effectExtent l="0" t="0" r="0" b="0"/>
                <wp:docPr id="1" name="Pictur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3" descr=""/>
                        <pic:cNvPicPr>
                          <a:picLocks noChangeAspect="1" noChangeArrowheads="1"/>
                        </pic:cNvPicPr>
                      </pic:nvPicPr>
                      <pic:blipFill>
                        <a:blip r:embed="rId2"/>
                        <a:stretch>
                          <a:fillRect/>
                        </a:stretch>
                      </pic:blipFill>
                      <pic:spPr bwMode="auto">
                        <a:xfrm>
                          <a:off x="0" y="0"/>
                          <a:ext cx="1417320" cy="751205"/>
                        </a:xfrm>
                        <a:prstGeom prst="rect">
                          <a:avLst/>
                        </a:prstGeom>
                      </pic:spPr>
                    </pic:pic>
                  </a:graphicData>
                </a:graphic>
              </wp:inline>
            </w:drawing>
          </w:r>
        </w:p>
        <w:p>
          <w:pPr>
            <w:pStyle w:val="NoSpacing"/>
            <w:pBdr>
              <w:top w:val="single" w:sz="6" w:space="6" w:color="4472C4"/>
              <w:bottom w:val="single" w:sz="6" w:space="6" w:color="4472C4"/>
            </w:pBdr>
            <w:spacing w:before="0" w:after="240"/>
            <w:jc w:val="center"/>
            <w:rPr>
              <w:rFonts w:ascii="Calibri Light" w:hAnsi="Calibri Light" w:eastAsia="" w:cs="" w:asciiTheme="majorHAnsi" w:cstheme="majorBidi" w:eastAsiaTheme="majorEastAsia" w:hAnsiTheme="majorHAnsi"/>
              <w:caps/>
              <w:color w:val="4472C4" w:themeColor="accent1"/>
              <w:sz w:val="80"/>
              <w:szCs w:val="80"/>
            </w:rPr>
          </w:pPr>
          <w:r>
            <w:rPr>
              <w:rFonts w:eastAsia="" w:cs="" w:ascii="Calibri Light" w:hAnsi="Calibri Light" w:asciiTheme="majorHAnsi" w:cstheme="majorBidi" w:eastAsiaTheme="majorEastAsia" w:hAnsiTheme="majorHAnsi"/>
              <w:caps/>
              <w:color w:val="4472C4" w:themeColor="accent1"/>
              <w:sz w:val="72"/>
              <w:szCs w:val="72"/>
            </w:rPr>
            <w:t>ANNUAL REPORT 2018</w:t>
          </w:r>
        </w:p>
      </w:sdtContent>
    </w:sdt>
    <w:sdt>
      <w:sdtPr>
        <w:text/>
        <w:id w:val="1256156477"/>
        <w:dataBinding w:prefixMappings="xmlns:ns0='http://purl.org/dc/elements/1.1/' xmlns:ns1='http://schemas.openxmlformats.org/package/2006/metadata/core-properties' " w:xpath="/ns1:coreProperties[1]/ns0:subject[1]" w:storeItemID="{6C3C8BC8-F283-45AE-878A-BAB7291924A1}"/>
        <w:alias w:val="Subtitle"/>
      </w:sdtPr>
      <w:sdtContent>
        <w:p>
          <w:pPr>
            <w:pStyle w:val="NoSpacing"/>
            <w:jc w:val="center"/>
            <w:rPr>
              <w:color w:val="4472C4" w:themeColor="accent1"/>
              <w:sz w:val="28"/>
              <w:szCs w:val="28"/>
            </w:rPr>
          </w:pPr>
          <w:r>
            <w:rPr>
              <w:color w:val="4472C4" w:themeColor="accent1"/>
              <w:sz w:val="28"/>
              <w:szCs w:val="28"/>
            </w:rPr>
            <w:t>Construction Association of Bhutan (CAB)</w:t>
          </w:r>
        </w:p>
      </w:sdtContent>
    </w:sdt>
    <w:p>
      <w:pPr>
        <w:pStyle w:val="NoSpacing"/>
        <w:spacing w:before="480" w:after="160"/>
        <w:jc w:val="center"/>
        <w:rPr>
          <w:color w:val="4472C4" w:themeColor="accent1"/>
        </w:rPr>
      </w:pPr>
      <w:r>
        <w:rPr/>
        <w:drawing>
          <wp:inline distT="0" distB="0" distL="0" distR="3175">
            <wp:extent cx="758825" cy="478790"/>
            <wp:effectExtent l="0" t="0" r="0" b="0"/>
            <wp:docPr id="4" name="Pictur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4" descr=""/>
                    <pic:cNvPicPr>
                      <a:picLocks noChangeAspect="1" noChangeArrowheads="1"/>
                    </pic:cNvPicPr>
                  </pic:nvPicPr>
                  <pic:blipFill>
                    <a:blip r:embed="rId3"/>
                    <a:stretch>
                      <a:fillRect/>
                    </a:stretch>
                  </pic:blipFill>
                  <pic:spPr bwMode="auto">
                    <a:xfrm>
                      <a:off x="0" y="0"/>
                      <a:ext cx="758825" cy="478790"/>
                    </a:xfrm>
                    <a:prstGeom prst="rect">
                      <a:avLst/>
                    </a:prstGeom>
                  </pic:spPr>
                </pic:pic>
              </a:graphicData>
            </a:graphic>
          </wp:inline>
        </w:drawing>
        <mc:AlternateContent>
          <mc:Choice Requires="wps">
            <w:drawing>
              <wp:anchor behindDoc="0" distT="0" distB="0" distL="114300" distR="114300" simplePos="0" locked="0" layoutInCell="1" allowOverlap="1" relativeHeight="2" wp14:anchorId="6B95DA18">
                <wp:simplePos x="0" y="0"/>
                <wp:positionH relativeFrom="margin">
                  <wp:align>center</wp:align>
                </wp:positionH>
                <wp:positionV relativeFrom="page">
                  <wp:posOffset>8549640</wp:posOffset>
                </wp:positionV>
                <wp:extent cx="5943600" cy="558165"/>
                <wp:effectExtent l="0" t="0" r="0" b="12700"/>
                <wp:wrapNone/>
                <wp:docPr id="2" name="Text Box 142"/>
                <a:graphic xmlns:a="http://schemas.openxmlformats.org/drawingml/2006/main">
                  <a:graphicData uri="http://schemas.microsoft.com/office/word/2010/wordprocessingShape">
                    <wps:wsp>
                      <wps:cNvSpPr/>
                      <wps:spPr>
                        <a:xfrm>
                          <a:off x="0" y="0"/>
                          <a:ext cx="5942880" cy="557640"/>
                        </a:xfrm>
                        <a:prstGeom prst="rect">
                          <a:avLst/>
                        </a:prstGeom>
                        <a:noFill/>
                        <a:ln w="6480">
                          <a:noFill/>
                        </a:ln>
                      </wps:spPr>
                      <wps:style>
                        <a:lnRef idx="0"/>
                        <a:fillRef idx="0"/>
                        <a:effectRef idx="0"/>
                        <a:fontRef idx="minor"/>
                      </wps:style>
                      <wps:txbx>
                        <w:txbxContent>
                          <w:p>
                            <w:pPr>
                              <w:pStyle w:val="NoSpacing"/>
                              <w:spacing w:before="0" w:after="40"/>
                              <w:jc w:val="center"/>
                              <w:rPr>
                                <w:caps/>
                                <w:color w:val="4472C4" w:themeColor="accent1"/>
                                <w:sz w:val="28"/>
                                <w:szCs w:val="28"/>
                              </w:rPr>
                            </w:pPr>
                            <w:r>
                              <w:rPr/>
                            </w:r>
                            <w:sdt>
                              <w:sdtPr>
                                <w:alias w:val="Date"/>
                                <w:date w:fullDate="2019-01-01T00:00:00Z">
                                  <w:dateFormat w:val="MMMM d, yyyy"/>
                                  <w:lid w:val="en-US"/>
                                  <w:storeMappedDataAs w:val="dateTime"/>
                                  <w:calendar w:val="gregorian"/>
                                </w:date>
                              </w:sdtPr>
                              <w:sdtContent>
                                <w:r>
                                  <w:rPr>
                                    <w:caps/>
                                    <w:color w:val="4472C4" w:themeColor="accent1"/>
                                    <w:sz w:val="28"/>
                                    <w:szCs w:val="28"/>
                                  </w:rPr>
                                  <w:t>January 1, 2019</w:t>
                                </w:r>
                              </w:sdtContent>
                            </w:sdt>
                          </w:p>
                          <w:p>
                            <w:pPr>
                              <w:pStyle w:val="NoSpacing"/>
                              <w:jc w:val="center"/>
                              <w:rPr>
                                <w:color w:val="4472C4" w:themeColor="accent1"/>
                              </w:rPr>
                            </w:pPr>
                            <w:sdt>
                              <w:sdtPr>
                                <w:text/>
                                <w:dataBinding w:prefixMappings="xmlns:ns0='http://schemas.openxmlformats.org/officeDocument/2006/extended-properties' " w:xpath="/ns0:Properties[1]/ns0:Company[1]" w:storeItemID="{6668398D-A668-4E3E-A5EB-62B293D839F1}"/>
                                <w:alias w:val="Company"/>
                              </w:sdtPr>
                              <w:sdtContent>
                                <w:r>
                                  <w:rPr>
                                    <w:caps/>
                                    <w:color w:val="4472C4" w:themeColor="accent1"/>
                                  </w:rPr>
                                  <w:t>construction association of bhutan (CAB)</w:t>
                                </w:r>
                              </w:sdtContent>
                            </w:sdt>
                          </w:p>
                          <w:p>
                            <w:pPr>
                              <w:pStyle w:val="NoSpacing"/>
                              <w:jc w:val="center"/>
                              <w:rPr/>
                            </w:pPr>
                            <w:sdt>
                              <w:sdtPr>
                                <w:text/>
                                <w:dataBinding w:prefixMappings="xmlns:ns0='http://schemas.microsoft.com/office/2006/coverPageProps' " w:xpath="/ns0:CoverPageProperties[1]/ns0:CompanyAddress[1]" w:storeItemID="{55AF091B-3C7A-41E3-B477-F2FDAA23CFDA}"/>
                                <w:alias w:val="Address"/>
                              </w:sdtPr>
                              <w:sdtContent>
                                <w:r>
                                  <w:rPr>
                                    <w:color w:val="4472C4" w:themeColor="accent1"/>
                                  </w:rPr>
                                  <w:t>Thimphu</w:t>
                                </w:r>
                              </w:sdtContent>
                            </w:sdt>
                          </w:p>
                        </w:txbxContent>
                      </wps:txbx>
                      <wps:bodyPr lIns="0" rIns="0" tIns="0" bIns="0" anchor="b">
                        <a:prstTxWarp prst="textNoShape"/>
                        <a:spAutoFit/>
                      </wps:bodyPr>
                    </wps:wsp>
                  </a:graphicData>
                </a:graphic>
                <wp14:sizeRelH relativeFrom="margin">
                  <wp14:pctWidth>100000</wp14:pctWidth>
                </wp14:sizeRelH>
              </wp:anchor>
            </w:drawing>
          </mc:Choice>
          <mc:Fallback>
            <w:pict>
              <v:rect id="shape_0" ID="Text Box 142" stroked="f" style="position:absolute;margin-left:0pt;margin-top:673.2pt;width:467.9pt;height:43.85pt;mso-position-horizontal:center;mso-position-horizontal-relative:margin;mso-position-vertical-relative:page" wp14:anchorId="6B95DA18">
                <w10:wrap type="square"/>
                <v:fill o:detectmouseclick="t" on="false"/>
                <v:stroke color="#3465a4" weight="6480" joinstyle="round" endcap="flat"/>
                <v:textbox>
                  <w:txbxContent>
                    <w:p>
                      <w:pPr>
                        <w:pStyle w:val="NoSpacing"/>
                        <w:spacing w:before="0" w:after="40"/>
                        <w:jc w:val="center"/>
                        <w:rPr>
                          <w:caps/>
                          <w:color w:val="4472C4" w:themeColor="accent1"/>
                          <w:sz w:val="28"/>
                          <w:szCs w:val="28"/>
                        </w:rPr>
                      </w:pPr>
                      <w:r>
                        <w:rPr/>
                      </w:r>
                      <w:sdt>
                        <w:sdtPr>
                          <w:alias w:val="Date"/>
                          <w:date w:fullDate="2019-01-01T00:00:00Z">
                            <w:dateFormat w:val="MMMM d, yyyy"/>
                            <w:lid w:val="en-US"/>
                            <w:storeMappedDataAs w:val="dateTime"/>
                            <w:calendar w:val="gregorian"/>
                          </w:date>
                        </w:sdtPr>
                        <w:sdtContent>
                          <w:r>
                            <w:rPr>
                              <w:caps/>
                              <w:color w:val="4472C4" w:themeColor="accent1"/>
                              <w:sz w:val="28"/>
                              <w:szCs w:val="28"/>
                            </w:rPr>
                            <w:t>January 1, 2019</w:t>
                          </w:r>
                        </w:sdtContent>
                      </w:sdt>
                    </w:p>
                    <w:p>
                      <w:pPr>
                        <w:pStyle w:val="NoSpacing"/>
                        <w:jc w:val="center"/>
                        <w:rPr>
                          <w:color w:val="4472C4" w:themeColor="accent1"/>
                        </w:rPr>
                      </w:pPr>
                      <w:sdt>
                        <w:sdtPr>
                          <w:text/>
                          <w:dataBinding w:prefixMappings="xmlns:ns0='http://schemas.openxmlformats.org/officeDocument/2006/extended-properties' " w:xpath="/ns0:Properties[1]/ns0:Company[1]" w:storeItemID="{6668398D-A668-4E3E-A5EB-62B293D839F1}"/>
                          <w:alias w:val="Company"/>
                        </w:sdtPr>
                        <w:sdtContent>
                          <w:r>
                            <w:rPr>
                              <w:caps/>
                              <w:color w:val="4472C4" w:themeColor="accent1"/>
                            </w:rPr>
                            <w:t>construction association of bhutan (CAB)</w:t>
                          </w:r>
                        </w:sdtContent>
                      </w:sdt>
                    </w:p>
                    <w:p>
                      <w:pPr>
                        <w:pStyle w:val="NoSpacing"/>
                        <w:jc w:val="center"/>
                        <w:rPr/>
                      </w:pPr>
                      <w:sdt>
                        <w:sdtPr>
                          <w:text/>
                          <w:dataBinding w:prefixMappings="xmlns:ns0='http://schemas.microsoft.com/office/2006/coverPageProps' " w:xpath="/ns0:CoverPageProperties[1]/ns0:CompanyAddress[1]" w:storeItemID="{55AF091B-3C7A-41E3-B477-F2FDAA23CFDA}"/>
                          <w:alias w:val="Address"/>
                        </w:sdtPr>
                        <w:sdtContent>
                          <w:r>
                            <w:rPr>
                              <w:color w:val="4472C4" w:themeColor="accent1"/>
                            </w:rPr>
                            <w:t>Thimphu</w:t>
                          </w:r>
                        </w:sdtContent>
                      </w:sdt>
                    </w:p>
                  </w:txbxContent>
                </v:textbox>
              </v:rect>
            </w:pict>
          </mc:Fallback>
        </mc:AlternateContent>
      </w:r>
    </w:p>
    <w:p>
      <w:pPr>
        <w:pStyle w:val="Normal"/>
        <w:rPr>
          <w:b/>
          <w:b/>
          <w:sz w:val="28"/>
        </w:rPr>
      </w:pPr>
      <w:r>
        <w:rPr>
          <w:b/>
          <w:sz w:val="28"/>
        </w:rPr>
        <w:drawing>
          <wp:anchor behindDoc="0" distT="0" distB="3810" distL="114300" distR="118110" simplePos="0" locked="0" layoutInCell="1" allowOverlap="1" relativeHeight="18">
            <wp:simplePos x="0" y="0"/>
            <wp:positionH relativeFrom="margin">
              <wp:align>center</wp:align>
            </wp:positionH>
            <wp:positionV relativeFrom="paragraph">
              <wp:posOffset>2008505</wp:posOffset>
            </wp:positionV>
            <wp:extent cx="1692275" cy="1692275"/>
            <wp:effectExtent l="0" t="0" r="0" b="0"/>
            <wp:wrapSquare wrapText="bothSides"/>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
                    <pic:cNvPicPr>
                      <a:picLocks noChangeAspect="1" noChangeArrowheads="1"/>
                    </pic:cNvPicPr>
                  </pic:nvPicPr>
                  <pic:blipFill>
                    <a:blip r:embed="rId4"/>
                    <a:stretch>
                      <a:fillRect/>
                    </a:stretch>
                  </pic:blipFill>
                  <pic:spPr bwMode="auto">
                    <a:xfrm>
                      <a:off x="0" y="0"/>
                      <a:ext cx="1692275" cy="1692275"/>
                    </a:xfrm>
                    <a:prstGeom prst="rect">
                      <a:avLst/>
                    </a:prstGeom>
                  </pic:spPr>
                </pic:pic>
              </a:graphicData>
            </a:graphic>
          </wp:anchor>
        </w:drawing>
      </w:r>
      <w:r>
        <w:br w:type="page"/>
      </w:r>
    </w:p>
    <w:p>
      <w:pPr>
        <w:pStyle w:val="Normal"/>
        <w:jc w:val="center"/>
        <w:rPr>
          <w:b/>
          <w:b/>
          <w:sz w:val="28"/>
        </w:rPr>
      </w:pPr>
      <w:r>
        <w:rPr>
          <w:b/>
          <w:sz w:val="28"/>
        </w:rPr>
        <w:t>Message from the President</w:t>
      </w:r>
    </w:p>
    <w:p>
      <w:pPr>
        <w:pStyle w:val="Normal"/>
        <w:jc w:val="both"/>
        <w:rPr/>
      </w:pPr>
      <w:r>
        <w:rPr/>
        <w:t xml:space="preserve">We are pleased to present the year end 2018 annual report of the Construction Association of Bhutan. The report profiles various achievements and accomplishments of CAB in 2018; key activities undertaken by CAB are chronicled as part of this report. </w:t>
      </w:r>
    </w:p>
    <w:p>
      <w:pPr>
        <w:pStyle w:val="Normal"/>
        <w:jc w:val="both"/>
        <w:rPr/>
      </w:pPr>
      <w:r>
        <w:rPr/>
        <w:t xml:space="preserve">The construction sector is a fundamental socio-economic sector, which permeates most of the other sectors as it transforms various resources into physical, economic and social infrastructure necessary for socio economic development. It creates the physical infrastructure that is central to the country’s economic development. Often remarked as the engine of growth, the construction industry by virtue of its paramountcy in nation development is the main beneficiary of the Government’s budget appropriation and resultantly, contributes major share to the GDP.  </w:t>
      </w:r>
    </w:p>
    <w:p>
      <w:pPr>
        <w:pStyle w:val="Normal"/>
        <w:jc w:val="both"/>
        <w:rPr/>
      </w:pPr>
      <w:r>
        <w:rPr/>
        <w:t xml:space="preserve">In order to foster the growth of the industry, harmonious working symbiosis between the govt. and private sector is indispensable and to that end, CAB from its inception has been in constant endeavour to realize the synchronization between the govt. &amp; the private sector. As the umbrella association of all the Bhutanese contractors, we have been able to comprehend the industry’s problems and become more vocal through effective communication. CAB has, over the years, earned its status as a premier organization and gained prominence in the industry and recognition by the government in coordinating &amp; articulating our agenda going forward. </w:t>
      </w:r>
    </w:p>
    <w:p>
      <w:pPr>
        <w:pStyle w:val="Normal"/>
        <w:jc w:val="both"/>
        <w:rPr/>
      </w:pPr>
      <w:r>
        <w:rPr/>
        <w:t>The year 2018 has seen us move a step closer in achieving our goals and worth mentioning, CAB has been able to execute most of its activities independently with huge success. In particular, CAB has successfully organized the second Construction Fair-country’s largest construction related fair and similarly, led a 34-team delegate to Malaysia to attend the 44</w:t>
      </w:r>
      <w:r>
        <w:rPr>
          <w:vertAlign w:val="superscript"/>
        </w:rPr>
        <w:t>th</w:t>
      </w:r>
      <w:r>
        <w:rPr/>
        <w:t xml:space="preserve"> IFAWPCA Convention. CAB’s presence in the industry is becoming more visible and we are reaching out in support to more contractors, and ultimately it is our goal to reach out and support each and every contractor in Bhutan. </w:t>
      </w:r>
    </w:p>
    <w:p>
      <w:pPr>
        <w:pStyle w:val="Normal"/>
        <w:jc w:val="both"/>
        <w:rPr/>
      </w:pPr>
      <w:r>
        <w:rPr/>
        <w:t xml:space="preserve">CAB’s strength and success however depend on the trust and confidence that members entrust on CAB; the commitment &amp; support of our members are fundamental to everything we have achieved and it is your work, your commitment, and your support that have made this association what it is today. CAB will continue to be committed in representing our members in the best capacities to make change happen for a better, brighter future of the construction industry. </w:t>
      </w:r>
    </w:p>
    <w:p>
      <w:pPr>
        <w:pStyle w:val="Normal"/>
        <w:jc w:val="both"/>
        <w:rPr/>
      </w:pPr>
      <w:r>
        <w:rPr/>
        <w:t>We look forward to the continued support of all our members and stakeholders concerned, in carrying forward the momentum of the previous year and in reaching new heights for the construction industry in the upcoming year. Wish you all a great year ahead.</w:t>
      </w:r>
    </w:p>
    <w:p>
      <w:pPr>
        <w:pStyle w:val="Normal"/>
        <w:jc w:val="both"/>
        <w:rPr/>
      </w:pPr>
      <w:r>
        <w:rPr/>
        <w:t>THANK YOU!!!</w:t>
      </w:r>
    </w:p>
    <w:p>
      <w:pPr>
        <w:pStyle w:val="Normal"/>
        <w:jc w:val="both"/>
        <w:rPr/>
      </w:pPr>
      <w:r>
        <w:rPr/>
      </w:r>
    </w:p>
    <w:p>
      <w:pPr>
        <w:pStyle w:val="Normal"/>
        <w:jc w:val="both"/>
        <w:rPr/>
      </w:pPr>
      <w:r>
        <w:rPr/>
      </w:r>
    </w:p>
    <w:p>
      <w:pPr>
        <w:pStyle w:val="Normal"/>
        <w:jc w:val="both"/>
        <w:rPr/>
      </w:pPr>
      <w:r>
        <w:rPr/>
        <w:t>(Thinlay Gyamtsho)</w:t>
        <w:tab/>
      </w:r>
    </w:p>
    <w:p>
      <w:pPr>
        <w:pStyle w:val="Normal"/>
        <w:jc w:val="both"/>
        <w:rPr/>
      </w:pPr>
      <w:r>
        <w:rPr/>
        <w:t>PRESIDENT</w:t>
        <w:tab/>
        <w:tab/>
        <w:tab/>
      </w:r>
    </w:p>
    <w:p>
      <w:pPr>
        <w:pStyle w:val="Normal"/>
        <w:spacing w:lineRule="auto" w:line="240" w:before="0" w:after="0"/>
        <w:rPr/>
      </w:pPr>
      <w:r>
        <w:rPr/>
      </w:r>
    </w:p>
    <w:p>
      <w:pPr>
        <w:pStyle w:val="Normal"/>
        <w:spacing w:lineRule="auto" w:line="240" w:before="0" w:after="0"/>
        <w:rPr>
          <w:b/>
          <w:b/>
          <w:iCs/>
          <w:sz w:val="32"/>
        </w:rPr>
      </w:pPr>
      <w:r>
        <w:rPr>
          <w:b/>
          <w:iCs/>
          <w:sz w:val="32"/>
        </w:rPr>
        <w:t xml:space="preserve">1. Construction Fair 2018 </w:t>
      </w:r>
    </w:p>
    <w:p>
      <w:pPr>
        <w:pStyle w:val="Normal"/>
        <w:spacing w:lineRule="auto" w:line="240" w:before="0" w:after="0"/>
        <w:rPr>
          <w:iCs/>
        </w:rPr>
      </w:pPr>
      <w:r>
        <w:rPr>
          <w:iCs/>
        </w:rPr>
      </w:r>
    </w:p>
    <w:p>
      <w:pPr>
        <w:pStyle w:val="Normal"/>
        <w:spacing w:lineRule="auto" w:line="240" w:before="0" w:after="0"/>
        <w:jc w:val="both"/>
        <w:rPr>
          <w:iCs/>
          <w:sz w:val="24"/>
        </w:rPr>
      </w:pPr>
      <w:r>
        <w:rPr>
          <w:iCs/>
          <w:sz w:val="24"/>
        </w:rPr>
        <w:t xml:space="preserve">Construction Association of Bhutan organized the 2nd Construction Fair which was held from 26th – 29th May, 2018 at Changlimithang Stadium Parking, Thimphu. The first ever Construction Fair was conceptualized in the year 2017 with the objective to serve as a platform for showcasing emerging construction techniques, tools and technologies with ample people to people interactions between clients and service providers alike. The Construction Fair 2018 witnessed a gathering of huge appropriations which included individuals from government agencies, private firms, business providers, industry professionals, foreign delegates, member contractors, etc. </w:t>
      </w:r>
    </w:p>
    <w:p>
      <w:pPr>
        <w:pStyle w:val="Normal"/>
        <w:spacing w:lineRule="auto" w:line="240" w:before="0" w:after="0"/>
        <w:jc w:val="both"/>
        <w:rPr>
          <w:iCs/>
          <w:sz w:val="24"/>
        </w:rPr>
      </w:pPr>
      <w:r>
        <w:rPr>
          <w:iCs/>
          <w:sz w:val="24"/>
        </w:rPr>
      </w:r>
    </w:p>
    <w:p>
      <w:pPr>
        <w:pStyle w:val="Normal"/>
        <w:spacing w:lineRule="auto" w:line="240" w:before="0" w:after="0"/>
        <w:jc w:val="both"/>
        <w:rPr>
          <w:iCs/>
          <w:sz w:val="24"/>
        </w:rPr>
      </w:pPr>
      <w:r>
        <w:rPr>
          <w:iCs/>
          <w:sz w:val="24"/>
        </w:rPr>
        <w:t xml:space="preserve">The Construction Fair 2018 was initiated with the theme “Enhancing Opportunity &amp; Sustainability through Mechanization in the Bhutanese construction Sector”. The four days event provided an opportunity to all the stakeholders in the construction sector through display of essential products, seminar and presentation by prominent individuals from multiple agencies/departments, awareness on Technologies and Mechanization to the contractors/publics etc. The presence of the Hon’ble Minister, MoEA, Lyonpo Lekey Dorji and Hon’ble Minister of Works &amp; Human Settlements, Lyonpo Dasho Dorji Choden as the Chief guest for the inaugural and closing ceremony of the Fair respectively, bestowed additional significance to the program. The enriching speech delivered by their Excellencies reiterated the role of the construction industry in achieving the long-term goals and objective of our government.  </w:t>
      </w:r>
    </w:p>
    <w:p>
      <w:pPr>
        <w:pStyle w:val="Normal"/>
        <w:keepNext/>
        <w:spacing w:lineRule="auto" w:line="240" w:before="0" w:after="0"/>
        <w:jc w:val="both"/>
        <w:rPr/>
      </w:pPr>
      <w:r>
        <w:rPr/>
        <mc:AlternateContent>
          <mc:Choice Requires="wps">
            <w:drawing>
              <wp:inline distT="0" distB="0" distL="0" distR="0" wp14:anchorId="389E2BBC">
                <wp:extent cx="2571115" cy="1944370"/>
                <wp:effectExtent l="0" t="0" r="0" b="0"/>
                <wp:docPr id="9" name="Picture 3"/>
                <a:graphic xmlns:a="http://schemas.openxmlformats.org/drawingml/2006/main">
                  <a:graphicData uri="http://schemas.openxmlformats.org/drawingml/2006/picture">
                    <pic:pic xmlns:pic="http://schemas.openxmlformats.org/drawingml/2006/picture">
                      <pic:nvPicPr>
                        <pic:cNvPr id="1" name="Picture 3" descr=""/>
                        <pic:cNvPicPr/>
                      </pic:nvPicPr>
                      <pic:blipFill>
                        <a:blip r:embed="rId7"/>
                        <a:stretch/>
                      </pic:blipFill>
                      <pic:spPr>
                        <a:xfrm>
                          <a:off x="0" y="0"/>
                          <a:ext cx="2570400" cy="1943640"/>
                        </a:xfrm>
                        <a:prstGeom prst="rect">
                          <a:avLst/>
                        </a:prstGeom>
                        <a:ln w="88920">
                          <a:solidFill>
                            <a:srgbClr val="ffffff"/>
                          </a:solidFill>
                          <a:miter/>
                        </a:ln>
                        <a:effectLst>
                          <a:outerShdw algn="tl" blurRad="55000" dir="5400000" dist="1800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rect id="shape_0" ID="Picture 3" stroked="t" style="position:absolute;margin-left:0pt;margin-top:0pt;width:202.35pt;height:153pt" wp14:anchorId="389E2BBC">
                <v:imagedata r:id="rId7" o:detectmouseclick="t"/>
                <w10:wrap type="none"/>
                <v:stroke color="white" weight="88920" joinstyle="miter" endcap="flat"/>
                <v:shadow on="t" obscured="f" color="black"/>
              </v:rect>
            </w:pict>
          </mc:Fallback>
        </mc:AlternateContent>
        <mc:AlternateContent>
          <mc:Choice Requires="wps">
            <w:drawing>
              <wp:anchor behindDoc="0" distT="0" distB="0" distL="113665" distR="114300" simplePos="0" locked="0" layoutInCell="1" allowOverlap="1" relativeHeight="3" wp14:anchorId="23EC2FEA">
                <wp:simplePos x="0" y="0"/>
                <wp:positionH relativeFrom="column">
                  <wp:posOffset>3295650</wp:posOffset>
                </wp:positionH>
                <wp:positionV relativeFrom="paragraph">
                  <wp:posOffset>127635</wp:posOffset>
                </wp:positionV>
                <wp:extent cx="2536190" cy="1944370"/>
                <wp:effectExtent l="133350" t="114300" r="150495" b="151765"/>
                <wp:wrapSquare wrapText="bothSides"/>
                <wp:docPr id="6" name="Picture 11" descr="D:\cabwork\website design\Images for Website\Construction Fair 2017-Pics\33663038_2120185808216944_5971051255034806272_n.jpg"/>
                <a:graphic xmlns:a="http://schemas.openxmlformats.org/drawingml/2006/main">
                  <a:graphicData uri="http://schemas.openxmlformats.org/drawingml/2006/picture">
                    <pic:pic xmlns:pic="http://schemas.openxmlformats.org/drawingml/2006/picture">
                      <pic:nvPicPr>
                        <pic:cNvPr id="0" name="Picture 11" descr="D:\cabwork\website design\Images for Website\Construction Fair 2017-Pics\33663038_2120185808216944_5971051255034806272_n.jpg"/>
                        <pic:cNvPicPr/>
                      </pic:nvPicPr>
                      <pic:blipFill>
                        <a:blip r:embed="rId5"/>
                        <a:stretch/>
                      </pic:blipFill>
                      <pic:spPr>
                        <a:xfrm>
                          <a:off x="0" y="0"/>
                          <a:ext cx="2535480" cy="1943640"/>
                        </a:xfrm>
                        <a:prstGeom prst="rect">
                          <a:avLst/>
                        </a:prstGeom>
                        <a:ln w="88920">
                          <a:solidFill>
                            <a:srgbClr val="ffffff"/>
                          </a:solidFill>
                          <a:miter/>
                        </a:ln>
                        <a:effectLst>
                          <a:outerShdw algn="tl" blurRad="55000" dir="5400000" dist="1800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rect id="shape_0" ID="Picture 11" stroked="t" style="position:absolute;margin-left:259.5pt;margin-top:10.05pt;width:199.6pt;height:153pt" wp14:anchorId="23EC2FEA">
                <v:imagedata r:id="rId6" o:detectmouseclick="t"/>
                <w10:wrap type="none"/>
                <v:stroke color="white" weight="88920" joinstyle="miter" endcap="flat"/>
                <v:shadow on="t" obscured="f" color="black"/>
              </v:rect>
            </w:pict>
          </mc:Fallback>
        </mc:AlternateContent>
        <mc:AlternateContent>
          <mc:Choice Requires="wps">
            <w:drawing>
              <wp:anchor behindDoc="0" distT="0" distB="0" distL="114300" distR="114300" simplePos="0" locked="0" layoutInCell="1" allowOverlap="1" relativeHeight="4" wp14:anchorId="7C3773F6">
                <wp:simplePos x="0" y="0"/>
                <wp:positionH relativeFrom="column">
                  <wp:posOffset>3295650</wp:posOffset>
                </wp:positionH>
                <wp:positionV relativeFrom="paragraph">
                  <wp:posOffset>2214245</wp:posOffset>
                </wp:positionV>
                <wp:extent cx="2536190" cy="132715"/>
                <wp:effectExtent l="0" t="0" r="0" b="0"/>
                <wp:wrapSquare wrapText="bothSides"/>
                <wp:docPr id="7" name="Text Box 13"/>
                <a:graphic xmlns:a="http://schemas.openxmlformats.org/drawingml/2006/main">
                  <a:graphicData uri="http://schemas.microsoft.com/office/word/2010/wordprocessingShape">
                    <wps:wsp>
                      <wps:cNvSpPr/>
                      <wps:spPr>
                        <a:xfrm>
                          <a:off x="0" y="0"/>
                          <a:ext cx="2535480" cy="132120"/>
                        </a:xfrm>
                        <a:prstGeom prst="rect">
                          <a:avLst/>
                        </a:prstGeom>
                        <a:solidFill>
                          <a:srgbClr val="ffffff"/>
                        </a:solidFill>
                        <a:ln>
                          <a:noFill/>
                        </a:ln>
                      </wps:spPr>
                      <wps:style>
                        <a:lnRef idx="0"/>
                        <a:fillRef idx="0"/>
                        <a:effectRef idx="0"/>
                        <a:fontRef idx="minor"/>
                      </wps:style>
                      <wps:txbx>
                        <w:txbxContent>
                          <w:p>
                            <w:pPr>
                              <w:pStyle w:val="Caption1"/>
                              <w:spacing w:lineRule="auto" w:line="240" w:before="0" w:after="200"/>
                              <w:rPr/>
                            </w:pPr>
                            <w:r>
                              <w:rPr/>
                              <w:t>Figure 2 Marchang Ceremony</w:t>
                            </w:r>
                          </w:p>
                        </w:txbxContent>
                      </wps:txbx>
                      <wps:bodyPr lIns="0" rIns="0" tIns="0" bIns="0">
                        <a:prstTxWarp prst="textNoShape"/>
                        <a:spAutoFit/>
                      </wps:bodyPr>
                    </wps:wsp>
                  </a:graphicData>
                </a:graphic>
              </wp:anchor>
            </w:drawing>
          </mc:Choice>
          <mc:Fallback>
            <w:pict>
              <v:rect id="shape_0" ID="Text Box 13" fillcolor="white" stroked="f" style="position:absolute;margin-left:259.5pt;margin-top:174.35pt;width:199.6pt;height:10.35pt" wp14:anchorId="7C3773F6">
                <w10:wrap type="square"/>
                <v:fill o:detectmouseclick="t" type="solid" color2="black"/>
                <v:stroke color="#3465a4" joinstyle="round" endcap="flat"/>
                <v:textbox>
                  <w:txbxContent>
                    <w:p>
                      <w:pPr>
                        <w:pStyle w:val="Caption1"/>
                        <w:spacing w:lineRule="auto" w:line="240" w:before="0" w:after="200"/>
                        <w:rPr/>
                      </w:pPr>
                      <w:r>
                        <w:rPr/>
                        <w:t>Figure 2 Marchang Ceremony</w:t>
                      </w:r>
                    </w:p>
                  </w:txbxContent>
                </v:textbox>
              </v:rect>
            </w:pict>
          </mc:Fallback>
        </mc:AlternateContent>
      </w:r>
    </w:p>
    <w:p>
      <w:pPr>
        <w:pStyle w:val="Caption1"/>
        <w:jc w:val="both"/>
        <w:rPr/>
      </w:pPr>
      <w:r>
        <w:rPr/>
        <w:t xml:space="preserve">Figure </w:t>
      </w:r>
      <w:r>
        <w:rPr/>
        <w:fldChar w:fldCharType="begin"/>
      </w:r>
      <w:r>
        <w:instrText> SEQ Figure \* ARABIC </w:instrText>
      </w:r>
      <w:r>
        <w:fldChar w:fldCharType="separate"/>
      </w:r>
      <w:r>
        <w:t>1</w:t>
      </w:r>
      <w:r>
        <w:fldChar w:fldCharType="end"/>
      </w:r>
      <w:r>
        <w:rPr/>
        <w:t xml:space="preserve"> Opening of the 2nd Construction Fair</w:t>
      </w:r>
    </w:p>
    <w:p>
      <w:pPr>
        <w:pStyle w:val="Normal"/>
        <w:spacing w:lineRule="auto" w:line="240" w:before="0" w:after="0"/>
        <w:jc w:val="both"/>
        <w:rPr>
          <w:rStyle w:val="SubtleEmphasis"/>
        </w:rPr>
      </w:pPr>
      <w:r>
        <w:rPr/>
      </w:r>
    </w:p>
    <w:p>
      <w:pPr>
        <w:pStyle w:val="Normal"/>
        <w:spacing w:lineRule="auto" w:line="276" w:before="0" w:after="0"/>
        <w:jc w:val="both"/>
        <w:rPr>
          <w:b/>
          <w:b/>
          <w:sz w:val="28"/>
        </w:rPr>
      </w:pPr>
      <w:r>
        <w:rPr>
          <w:b/>
          <w:sz w:val="28"/>
        </w:rPr>
        <w:t>1.1 Objectives</w:t>
      </w:r>
    </w:p>
    <w:p>
      <w:pPr>
        <w:pStyle w:val="Normal"/>
        <w:spacing w:lineRule="auto" w:line="240" w:before="0" w:after="0"/>
        <w:jc w:val="both"/>
        <w:rPr/>
      </w:pPr>
      <w:r>
        <w:rPr/>
        <w:t>The main objective of the Construction Fair 2018 was to encourage mechanization of the construction industry as mandated by the government through promotions and advocacies in Annual General Meeting, Seminars and Construction Fairs. With this standpoint, the fair was initiated to bring together the industry partners and players to sensitize them on the appropriate tools and technology for the comprehensive mechanization process in the delivery of quality and efficient infrastructures.</w:t>
      </w:r>
    </w:p>
    <w:p>
      <w:pPr>
        <w:pStyle w:val="Normal"/>
        <w:spacing w:lineRule="auto" w:line="240" w:before="0" w:after="0"/>
        <w:jc w:val="both"/>
        <w:rPr>
          <w:rStyle w:val="SubtleEmphasis"/>
        </w:rPr>
      </w:pPr>
      <w:r>
        <w:rPr/>
      </w:r>
    </w:p>
    <w:p>
      <w:pPr>
        <w:pStyle w:val="Normal"/>
        <w:spacing w:lineRule="auto" w:line="240" w:before="0" w:after="0"/>
        <w:jc w:val="both"/>
        <w:rPr>
          <w:b/>
          <w:b/>
          <w:iCs/>
          <w:sz w:val="28"/>
        </w:rPr>
      </w:pPr>
      <w:r>
        <w:rPr>
          <w:b/>
          <w:iCs/>
          <w:sz w:val="28"/>
        </w:rPr>
      </w:r>
    </w:p>
    <w:p>
      <w:pPr>
        <w:pStyle w:val="Normal"/>
        <w:spacing w:lineRule="auto" w:line="240" w:before="0" w:after="0"/>
        <w:jc w:val="both"/>
        <w:rPr>
          <w:b/>
          <w:b/>
          <w:iCs/>
          <w:sz w:val="28"/>
        </w:rPr>
      </w:pPr>
      <w:r>
        <w:rPr>
          <w:b/>
          <w:iCs/>
          <w:sz w:val="28"/>
        </w:rPr>
      </w:r>
    </w:p>
    <w:p>
      <w:pPr>
        <w:pStyle w:val="Normal"/>
        <w:spacing w:lineRule="auto" w:line="240" w:before="0" w:after="0"/>
        <w:jc w:val="both"/>
        <w:rPr>
          <w:b/>
          <w:b/>
          <w:iCs/>
          <w:sz w:val="28"/>
        </w:rPr>
      </w:pPr>
      <w:r>
        <w:rPr>
          <w:b/>
          <w:iCs/>
          <w:sz w:val="28"/>
        </w:rPr>
        <w:t>1.2 Ancillary Objectives of the Construction Fair 2018:</w:t>
      </w:r>
    </w:p>
    <w:p>
      <w:pPr>
        <w:pStyle w:val="Normal"/>
        <w:spacing w:lineRule="auto" w:line="240" w:before="0" w:after="0"/>
        <w:jc w:val="both"/>
        <w:rPr>
          <w:rStyle w:val="SubtleEmphasis"/>
        </w:rPr>
      </w:pPr>
      <w:r>
        <w:rPr/>
      </w:r>
    </w:p>
    <w:p>
      <w:pPr>
        <w:pStyle w:val="ListParagraph"/>
        <w:numPr>
          <w:ilvl w:val="0"/>
          <w:numId w:val="1"/>
        </w:numPr>
        <w:spacing w:before="0" w:after="160"/>
        <w:jc w:val="both"/>
        <w:rPr>
          <w:iCs/>
        </w:rPr>
      </w:pPr>
      <w:r>
        <w:rPr>
          <w:iCs/>
        </w:rPr>
        <w:t>Introduction of Technologies and Standards</w:t>
      </w:r>
    </w:p>
    <w:p>
      <w:pPr>
        <w:pStyle w:val="ListParagraph"/>
        <w:numPr>
          <w:ilvl w:val="0"/>
          <w:numId w:val="1"/>
        </w:numPr>
        <w:spacing w:before="0" w:after="160"/>
        <w:jc w:val="both"/>
        <w:rPr>
          <w:iCs/>
        </w:rPr>
      </w:pPr>
      <w:r>
        <w:rPr>
          <w:iCs/>
        </w:rPr>
        <w:t>Introduction of new Equipment and Tools</w:t>
      </w:r>
    </w:p>
    <w:p>
      <w:pPr>
        <w:pStyle w:val="ListParagraph"/>
        <w:numPr>
          <w:ilvl w:val="0"/>
          <w:numId w:val="2"/>
        </w:numPr>
        <w:spacing w:before="0" w:after="160"/>
        <w:jc w:val="both"/>
        <w:rPr>
          <w:iCs/>
        </w:rPr>
      </w:pPr>
      <w:r>
        <w:rPr>
          <w:iCs/>
        </w:rPr>
        <w:t>Exchange of Technical know-how</w:t>
      </w:r>
    </w:p>
    <w:p>
      <w:pPr>
        <w:pStyle w:val="ListParagraph"/>
        <w:numPr>
          <w:ilvl w:val="0"/>
          <w:numId w:val="2"/>
        </w:numPr>
        <w:spacing w:before="0" w:after="160"/>
        <w:jc w:val="both"/>
        <w:rPr>
          <w:iCs/>
        </w:rPr>
      </w:pPr>
      <w:r>
        <w:rPr>
          <w:iCs/>
        </w:rPr>
        <w:t>Exchange of Best practices</w:t>
      </w:r>
    </w:p>
    <w:p>
      <w:pPr>
        <w:pStyle w:val="ListParagraph"/>
        <w:numPr>
          <w:ilvl w:val="0"/>
          <w:numId w:val="2"/>
        </w:numPr>
        <w:spacing w:before="0" w:after="160"/>
        <w:jc w:val="both"/>
        <w:rPr>
          <w:iCs/>
        </w:rPr>
      </w:pPr>
      <w:r>
        <w:rPr>
          <w:iCs/>
        </w:rPr>
        <w:t>Establishment of linkages among Suppliers and Consumers</w:t>
      </w:r>
    </w:p>
    <w:p>
      <w:pPr>
        <w:pStyle w:val="ListParagraph"/>
        <w:numPr>
          <w:ilvl w:val="0"/>
          <w:numId w:val="2"/>
        </w:numPr>
        <w:spacing w:before="0" w:after="160"/>
        <w:jc w:val="both"/>
        <w:rPr>
          <w:iCs/>
        </w:rPr>
      </w:pPr>
      <w:r>
        <w:rPr>
          <w:iCs/>
        </w:rPr>
        <w:t>Promote and Encourage the use of Local Materials</w:t>
      </w:r>
    </w:p>
    <w:p>
      <w:pPr>
        <w:pStyle w:val="ListParagraph"/>
        <w:numPr>
          <w:ilvl w:val="0"/>
          <w:numId w:val="2"/>
        </w:numPr>
        <w:spacing w:before="0" w:after="160"/>
        <w:jc w:val="both"/>
        <w:rPr>
          <w:iCs/>
        </w:rPr>
      </w:pPr>
      <w:r>
        <w:rPr>
          <w:iCs/>
        </w:rPr>
        <w:t>Educate contractors on Quality, Efficiency and Productivity</w:t>
      </w:r>
    </w:p>
    <w:p>
      <w:pPr>
        <w:pStyle w:val="ListParagraph"/>
        <w:numPr>
          <w:ilvl w:val="0"/>
          <w:numId w:val="2"/>
        </w:numPr>
        <w:spacing w:before="0" w:after="160"/>
        <w:jc w:val="both"/>
        <w:rPr>
          <w:iCs/>
        </w:rPr>
      </w:pPr>
      <w:r>
        <w:rPr>
          <w:iCs/>
        </w:rPr>
        <w:t>Sensitize contractors on various construction aspects like Green construction, Seismic Resilient Structures, etc …</w:t>
      </w:r>
    </w:p>
    <w:p>
      <w:pPr>
        <w:pStyle w:val="ListParagraph"/>
        <w:numPr>
          <w:ilvl w:val="0"/>
          <w:numId w:val="2"/>
        </w:numPr>
        <w:spacing w:before="0" w:after="160"/>
        <w:jc w:val="both"/>
        <w:rPr>
          <w:iCs/>
        </w:rPr>
      </w:pPr>
      <w:r>
        <w:rPr>
          <w:iCs/>
        </w:rPr>
        <w:t>Sensitize participants on government Policies, Plans and Programs</w:t>
      </w:r>
    </w:p>
    <w:p>
      <w:pPr>
        <w:pStyle w:val="ListParagraph"/>
        <w:numPr>
          <w:ilvl w:val="0"/>
          <w:numId w:val="2"/>
        </w:numPr>
        <w:spacing w:before="0" w:after="160"/>
        <w:jc w:val="both"/>
        <w:rPr>
          <w:iCs/>
        </w:rPr>
      </w:pPr>
      <w:r>
        <w:rPr>
          <w:iCs/>
        </w:rPr>
        <w:t>Discuss Issues and Challenges faced by the industry</w:t>
      </w:r>
    </w:p>
    <w:p>
      <w:pPr>
        <w:pStyle w:val="Normal"/>
        <w:spacing w:lineRule="auto" w:line="240" w:before="0" w:after="0"/>
        <w:jc w:val="both"/>
        <w:rPr>
          <w:rStyle w:val="SubtleEmphasis"/>
          <w:b/>
          <w:b/>
          <w:sz w:val="36"/>
          <w:szCs w:val="36"/>
        </w:rPr>
      </w:pPr>
      <w:r>
        <w:rPr>
          <w:b/>
          <w:sz w:val="36"/>
          <w:szCs w:val="36"/>
        </w:rPr>
      </w:r>
    </w:p>
    <w:p>
      <w:pPr>
        <w:pStyle w:val="Normal"/>
        <w:spacing w:lineRule="auto" w:line="240" w:before="0" w:after="0"/>
        <w:jc w:val="both"/>
        <w:rPr>
          <w:b/>
          <w:b/>
          <w:sz w:val="28"/>
        </w:rPr>
      </w:pPr>
      <w:r>
        <w:rPr>
          <w:b/>
          <w:sz w:val="28"/>
        </w:rPr>
        <w:t>1.3 Activities</w:t>
      </w:r>
    </w:p>
    <w:p>
      <w:pPr>
        <w:pStyle w:val="Normal"/>
        <w:jc w:val="both"/>
        <w:rPr>
          <w:iCs/>
        </w:rPr>
      </w:pPr>
      <w:r>
        <w:rPr>
          <w:iCs/>
        </w:rPr>
        <w:t>The fair comprised of the Annual General Meeting and Seminars integrated with the main exhibition and each individual activity had their own set of purpose as divulged hereunder.</w:t>
      </w:r>
    </w:p>
    <w:p>
      <w:pPr>
        <w:pStyle w:val="Normal"/>
        <w:spacing w:lineRule="auto" w:line="240" w:before="0" w:after="0"/>
        <w:jc w:val="both"/>
        <w:rPr>
          <w:b/>
          <w:b/>
          <w:iCs/>
          <w:sz w:val="24"/>
        </w:rPr>
      </w:pPr>
      <w:r>
        <w:rPr>
          <w:b/>
          <w:iCs/>
          <w:sz w:val="24"/>
        </w:rPr>
        <w:t>1.3.1 Fair 2018</w:t>
      </w:r>
    </w:p>
    <w:p>
      <w:pPr>
        <w:pStyle w:val="Normal"/>
        <w:spacing w:lineRule="auto" w:line="240"/>
        <w:jc w:val="both"/>
        <w:rPr/>
      </w:pPr>
      <w:r>
        <w:rPr/>
        <w:t xml:space="preserve">The 2nd construction fair 2018 showcased various construction equipment, products, associated technologies from various manufacturers, suppliers and dealers from within and outside the country. The fair also served as a platform to both the suppliers and consumers to build linkages, share technical knowledge and act as point of sales for the suppliers. </w:t>
      </w:r>
    </w:p>
    <w:p>
      <w:pPr>
        <w:pStyle w:val="Normal"/>
        <w:jc w:val="both"/>
        <w:rPr/>
      </w:pPr>
      <w:r>
        <w:rPr/>
        <w:t xml:space="preserve">This year the fair had representative from about 60 different suppliers and dealers as participants, covering almost all tools and machineries required in construction jobs. The intended beneficiary of the construction fair was the contractors and builders of the construction industry.   </w:t>
      </w:r>
    </w:p>
    <w:p>
      <w:pPr>
        <w:pStyle w:val="Normal"/>
        <w:jc w:val="both"/>
        <w:rPr/>
      </w:pPr>
      <w:r>
        <w:drawing>
          <wp:anchor behindDoc="0" distT="0" distB="7620" distL="0" distR="114300" simplePos="0" locked="0" layoutInCell="1" allowOverlap="1" relativeHeight="5">
            <wp:simplePos x="0" y="0"/>
            <wp:positionH relativeFrom="margin">
              <wp:align>left</wp:align>
            </wp:positionH>
            <wp:positionV relativeFrom="paragraph">
              <wp:posOffset>203200</wp:posOffset>
            </wp:positionV>
            <wp:extent cx="2783840" cy="2087880"/>
            <wp:effectExtent l="0" t="0" r="0" b="0"/>
            <wp:wrapSquare wrapText="bothSides"/>
            <wp:docPr id="10" name="Picture 15" descr="D:\cabwork\website design\Images for Website\Construction Fair 2017-Pics\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D:\cabwork\website design\Images for Website\Construction Fair 2017-Pics\stall.jpg"/>
                    <pic:cNvPicPr>
                      <a:picLocks noChangeAspect="1" noChangeArrowheads="1"/>
                    </pic:cNvPicPr>
                  </pic:nvPicPr>
                  <pic:blipFill>
                    <a:blip r:embed="rId8"/>
                    <a:stretch>
                      <a:fillRect/>
                    </a:stretch>
                  </pic:blipFill>
                  <pic:spPr bwMode="auto">
                    <a:xfrm>
                      <a:off x="0" y="0"/>
                      <a:ext cx="2783840" cy="2087880"/>
                    </a:xfrm>
                    <a:prstGeom prst="rect">
                      <a:avLst/>
                    </a:prstGeom>
                  </pic:spPr>
                </pic:pic>
              </a:graphicData>
            </a:graphic>
          </wp:anchor>
        </w:drawing>
      </w:r>
      <w:r>
        <w:rPr/>
        <w:t xml:space="preserve"> </w:t>
      </w:r>
      <w:r>
        <w:rPr/>
        <w:t xml:space="preserve">                          </w:t>
      </w:r>
      <w:r>
        <w:rPr/>
        <w:drawing>
          <wp:inline distT="0" distB="0" distL="0" distR="6985">
            <wp:extent cx="2832100" cy="2124075"/>
            <wp:effectExtent l="0" t="0" r="0" b="0"/>
            <wp:docPr id="11" name="Picture 14" descr="D:\cabwork\website design\Images for Website\Construction Fair 2017-Pics\34349536_1753731248026376_309990895817379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D:\cabwork\website design\Images for Website\Construction Fair 2017-Pics\34349536_1753731248026376_3099908958173790208_n.jpg"/>
                    <pic:cNvPicPr>
                      <a:picLocks noChangeAspect="1" noChangeArrowheads="1"/>
                    </pic:cNvPicPr>
                  </pic:nvPicPr>
                  <pic:blipFill>
                    <a:blip r:embed="rId9"/>
                    <a:stretch>
                      <a:fillRect/>
                    </a:stretch>
                  </pic:blipFill>
                  <pic:spPr bwMode="auto">
                    <a:xfrm>
                      <a:off x="0" y="0"/>
                      <a:ext cx="2832100" cy="2124075"/>
                    </a:xfrm>
                    <a:prstGeom prst="rect">
                      <a:avLst/>
                    </a:prstGeom>
                  </pic:spPr>
                </pic:pic>
              </a:graphicData>
            </a:graphic>
          </wp:inline>
        </w:drawing>
      </w:r>
    </w:p>
    <w:p>
      <w:pPr>
        <w:pStyle w:val="Normal"/>
        <w:jc w:val="both"/>
        <w:rPr>
          <w:b/>
          <w:b/>
          <w:iCs/>
          <w:sz w:val="24"/>
        </w:rPr>
      </w:pPr>
      <w:r>
        <w:rPr>
          <w:b/>
          <w:iCs/>
          <w:sz w:val="24"/>
        </w:rPr>
        <mc:AlternateContent>
          <mc:Choice Requires="wps">
            <w:drawing>
              <wp:anchor behindDoc="0" distT="0" distB="0" distL="114300" distR="114300" simplePos="0" locked="0" layoutInCell="1" allowOverlap="1" relativeHeight="6" wp14:anchorId="7B17F381">
                <wp:simplePos x="0" y="0"/>
                <wp:positionH relativeFrom="margin">
                  <wp:posOffset>1390650</wp:posOffset>
                </wp:positionH>
                <wp:positionV relativeFrom="paragraph">
                  <wp:posOffset>49530</wp:posOffset>
                </wp:positionV>
                <wp:extent cx="2784475" cy="266065"/>
                <wp:effectExtent l="0" t="0" r="0" b="0"/>
                <wp:wrapSquare wrapText="bothSides"/>
                <wp:docPr id="12" name="Text Box 16"/>
                <a:graphic xmlns:a="http://schemas.openxmlformats.org/drawingml/2006/main">
                  <a:graphicData uri="http://schemas.microsoft.com/office/word/2010/wordprocessingShape">
                    <wps:wsp>
                      <wps:cNvSpPr/>
                      <wps:spPr>
                        <a:xfrm>
                          <a:off x="0" y="0"/>
                          <a:ext cx="2783880" cy="265320"/>
                        </a:xfrm>
                        <a:prstGeom prst="rect">
                          <a:avLst/>
                        </a:prstGeom>
                        <a:solidFill>
                          <a:srgbClr val="ffffff"/>
                        </a:solidFill>
                        <a:ln>
                          <a:noFill/>
                        </a:ln>
                      </wps:spPr>
                      <wps:style>
                        <a:lnRef idx="0"/>
                        <a:fillRef idx="0"/>
                        <a:effectRef idx="0"/>
                        <a:fontRef idx="minor"/>
                      </wps:style>
                      <wps:txbx>
                        <w:txbxContent>
                          <w:p>
                            <w:pPr>
                              <w:pStyle w:val="Caption1"/>
                              <w:spacing w:lineRule="auto" w:line="240" w:before="0" w:after="200"/>
                              <w:rPr/>
                            </w:pPr>
                            <w:r>
                              <w:rPr/>
                              <w:t>Figure 3 President, CAB and other participants visiting the Exhibitor Stalls</w:t>
                            </w:r>
                          </w:p>
                        </w:txbxContent>
                      </wps:txbx>
                      <wps:bodyPr lIns="0" rIns="0" tIns="0" bIns="0">
                        <a:prstTxWarp prst="textNoShape"/>
                        <a:spAutoFit/>
                      </wps:bodyPr>
                    </wps:wsp>
                  </a:graphicData>
                </a:graphic>
              </wp:anchor>
            </w:drawing>
          </mc:Choice>
          <mc:Fallback>
            <w:pict>
              <v:rect id="shape_0" ID="Text Box 16" fillcolor="white" stroked="f" style="position:absolute;margin-left:109.5pt;margin-top:3.9pt;width:219.15pt;height:20.85pt;mso-position-horizontal-relative:margin" wp14:anchorId="7B17F381">
                <w10:wrap type="square"/>
                <v:fill o:detectmouseclick="t" type="solid" color2="black"/>
                <v:stroke color="#3465a4" joinstyle="round" endcap="flat"/>
                <v:textbox>
                  <w:txbxContent>
                    <w:p>
                      <w:pPr>
                        <w:pStyle w:val="Caption1"/>
                        <w:spacing w:lineRule="auto" w:line="240" w:before="0" w:after="200"/>
                        <w:rPr/>
                      </w:pPr>
                      <w:r>
                        <w:rPr/>
                        <w:t>Figure 3 President, CAB and other participants visiting the Exhibitor Stalls</w:t>
                      </w:r>
                    </w:p>
                  </w:txbxContent>
                </v:textbox>
              </v:rect>
            </w:pict>
          </mc:Fallback>
        </mc:AlternateContent>
      </w:r>
    </w:p>
    <w:p>
      <w:pPr>
        <w:pStyle w:val="Normal"/>
        <w:jc w:val="both"/>
        <w:rPr>
          <w:b/>
          <w:b/>
          <w:iCs/>
          <w:sz w:val="24"/>
        </w:rPr>
      </w:pPr>
      <w:r>
        <w:rPr>
          <w:b/>
          <w:iCs/>
          <w:sz w:val="24"/>
        </w:rPr>
      </w:r>
    </w:p>
    <w:p>
      <w:pPr>
        <w:pStyle w:val="Normal"/>
        <w:jc w:val="both"/>
        <w:rPr>
          <w:b/>
          <w:b/>
          <w:iCs/>
          <w:sz w:val="24"/>
        </w:rPr>
      </w:pPr>
      <w:r>
        <w:rPr>
          <w:b/>
          <w:iCs/>
          <w:sz w:val="24"/>
        </w:rPr>
        <w:t>1.3.2 Annual General Meeting (17</w:t>
      </w:r>
      <w:r>
        <w:rPr>
          <w:b/>
          <w:iCs/>
          <w:sz w:val="24"/>
          <w:vertAlign w:val="superscript"/>
        </w:rPr>
        <w:t>th</w:t>
      </w:r>
      <w:r>
        <w:rPr>
          <w:b/>
          <w:iCs/>
          <w:sz w:val="24"/>
        </w:rPr>
        <w:t xml:space="preserve"> AGM 2018)</w:t>
      </w:r>
    </w:p>
    <w:p>
      <w:pPr>
        <w:pStyle w:val="Normal"/>
        <w:jc w:val="both"/>
        <w:rPr>
          <w:iCs/>
        </w:rPr>
      </w:pPr>
      <w:r>
        <w:rPr>
          <w:iCs/>
        </w:rPr>
        <w:t>The Annual General Meeting of CAB was convened simultaneously with the event and representatives of the contractors from 18 dzongkhags along with chairperson of DLC (Dzongkhag Liaison Committee) were present. The AGM is an important platform for member contractors to discuss issues faced by the sector and for its submission to the government authorities for necessary interventions and solutions. Since the tenure of the current government is coming to its end, the AGM could deliberate only on some of the important issues that could be addressed within the time constraint.</w:t>
      </w:r>
    </w:p>
    <w:p>
      <w:pPr>
        <w:pStyle w:val="Normal"/>
        <w:keepNext/>
        <w:jc w:val="both"/>
        <w:rPr/>
      </w:pPr>
      <w:r>
        <w:rPr/>
        <w:drawing>
          <wp:inline distT="0" distB="3175" distL="0" distR="0">
            <wp:extent cx="3600450" cy="1673860"/>
            <wp:effectExtent l="0" t="0" r="0" b="0"/>
            <wp:docPr id="14" name="Picture 6" descr="D:\cabwork\Annual report\pics\33780768_1746201785445989_680910918391326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D:\cabwork\Annual report\pics\33780768_1746201785445989_6809109183913263104_n.jpg"/>
                    <pic:cNvPicPr>
                      <a:picLocks noChangeAspect="1" noChangeArrowheads="1"/>
                    </pic:cNvPicPr>
                  </pic:nvPicPr>
                  <pic:blipFill>
                    <a:blip r:embed="rId10"/>
                    <a:stretch>
                      <a:fillRect/>
                    </a:stretch>
                  </pic:blipFill>
                  <pic:spPr bwMode="auto">
                    <a:xfrm>
                      <a:off x="0" y="0"/>
                      <a:ext cx="3600450" cy="1673860"/>
                    </a:xfrm>
                    <a:prstGeom prst="rect">
                      <a:avLst/>
                    </a:prstGeom>
                  </pic:spPr>
                </pic:pic>
              </a:graphicData>
            </a:graphic>
          </wp:inline>
        </w:drawing>
      </w:r>
    </w:p>
    <w:p>
      <w:pPr>
        <w:pStyle w:val="Caption1"/>
        <w:jc w:val="both"/>
        <w:rPr>
          <w:iCs w:val="false"/>
        </w:rPr>
      </w:pPr>
      <w:r>
        <w:rPr/>
        <w:t>Figure 4 Contractors participating in the Annual General Meeting of CAB</w:t>
      </w:r>
    </w:p>
    <w:p>
      <w:pPr>
        <w:pStyle w:val="Normal"/>
        <w:jc w:val="both"/>
        <w:rPr>
          <w:b/>
          <w:b/>
          <w:iCs/>
          <w:sz w:val="24"/>
        </w:rPr>
      </w:pPr>
      <w:r>
        <w:rPr>
          <w:b/>
          <w:iCs/>
          <w:sz w:val="24"/>
        </w:rPr>
      </w:r>
    </w:p>
    <w:p>
      <w:pPr>
        <w:pStyle w:val="Normal"/>
        <w:jc w:val="both"/>
        <w:rPr>
          <w:b/>
          <w:b/>
          <w:iCs/>
          <w:sz w:val="24"/>
        </w:rPr>
      </w:pPr>
      <w:r>
        <w:rPr>
          <w:b/>
          <w:iCs/>
          <w:sz w:val="24"/>
        </w:rPr>
        <w:t>1.3.4 Seminar</w:t>
      </w:r>
    </w:p>
    <w:p>
      <w:pPr>
        <w:pStyle w:val="Normal"/>
        <w:jc w:val="both"/>
        <w:rPr>
          <w:iCs/>
        </w:rPr>
      </w:pPr>
      <w:r>
        <w:rPr>
          <w:iCs/>
        </w:rPr>
        <w:t>Seminars were an important part of our event which served as the channel to disseminate productive information to our member contractors present at the fair. The seminar constituted of presentation by eminent individuals from various agencies and departments on the topics such as Procurement norms, Best practices in construction, procurement grievance mechanisms, natural &amp; local construction resources, Construction Insurance, Financial Management, CDB rules &amp; regulations among other things.</w:t>
      </w:r>
    </w:p>
    <w:p>
      <w:pPr>
        <w:pStyle w:val="Normal"/>
        <w:jc w:val="both"/>
        <w:rPr>
          <w:iCs/>
        </w:rPr>
      </w:pPr>
      <w:r>
        <w:rPr>
          <w:iCs/>
        </w:rPr>
      </w:r>
    </w:p>
    <w:p>
      <w:pPr>
        <w:pStyle w:val="Normal"/>
        <w:spacing w:lineRule="auto" w:line="240" w:before="0" w:after="0"/>
        <w:jc w:val="both"/>
        <w:rPr>
          <w:iCs/>
          <w:sz w:val="28"/>
        </w:rPr>
      </w:pPr>
      <w:r>
        <w:rPr>
          <w:b/>
          <w:iCs/>
          <w:sz w:val="28"/>
        </w:rPr>
        <w:t>1.4 Who all Benefited?</w:t>
      </w:r>
    </w:p>
    <w:p>
      <w:pPr>
        <w:pStyle w:val="Normal"/>
        <w:spacing w:lineRule="auto" w:line="240" w:before="0" w:after="0"/>
        <w:ind w:left="360" w:hanging="0"/>
        <w:jc w:val="both"/>
        <w:rPr>
          <w:iCs/>
        </w:rPr>
      </w:pPr>
      <w:r>
        <w:rPr>
          <w:iCs/>
        </w:rPr>
        <w:t>The following individuals, government and private companies were the primary beneficiary of the event:</w:t>
      </w:r>
    </w:p>
    <w:p>
      <w:pPr>
        <w:pStyle w:val="Normal"/>
        <w:spacing w:lineRule="auto" w:line="240" w:before="0" w:after="0"/>
        <w:ind w:left="360" w:hanging="0"/>
        <w:jc w:val="both"/>
        <w:rPr>
          <w:iCs/>
        </w:rPr>
      </w:pPr>
      <w:r>
        <w:rPr>
          <w:iCs/>
        </w:rPr>
      </w:r>
    </w:p>
    <w:p>
      <w:pPr>
        <w:pStyle w:val="Normal"/>
        <w:numPr>
          <w:ilvl w:val="0"/>
          <w:numId w:val="5"/>
        </w:numPr>
        <w:spacing w:lineRule="auto" w:line="240"/>
        <w:jc w:val="both"/>
        <w:rPr/>
      </w:pPr>
      <w:r>
        <w:rPr/>
        <w:t>Manufacturers, Suppliers, Dealers within and outside Bhutan</w:t>
      </w:r>
    </w:p>
    <w:p>
      <w:pPr>
        <w:pStyle w:val="Normal"/>
        <w:numPr>
          <w:ilvl w:val="0"/>
          <w:numId w:val="4"/>
        </w:numPr>
        <w:spacing w:lineRule="auto" w:line="240"/>
        <w:jc w:val="both"/>
        <w:rPr/>
      </w:pPr>
      <w:r>
        <w:rPr/>
        <w:t>Contractors and Builders</w:t>
      </w:r>
    </w:p>
    <w:p>
      <w:pPr>
        <w:pStyle w:val="Normal"/>
        <w:numPr>
          <w:ilvl w:val="0"/>
          <w:numId w:val="4"/>
        </w:numPr>
        <w:spacing w:lineRule="auto" w:line="240"/>
        <w:jc w:val="both"/>
        <w:rPr/>
      </w:pPr>
      <w:r>
        <w:rPr/>
        <w:t>Contractor’s Engineers, Consultants and Other Professionals</w:t>
      </w:r>
    </w:p>
    <w:p>
      <w:pPr>
        <w:pStyle w:val="Normal"/>
        <w:numPr>
          <w:ilvl w:val="0"/>
          <w:numId w:val="4"/>
        </w:numPr>
        <w:spacing w:lineRule="auto" w:line="240"/>
        <w:jc w:val="both"/>
        <w:rPr/>
      </w:pPr>
      <w:r>
        <w:rPr/>
        <w:t>Construction Association of Bhutan</w:t>
      </w:r>
    </w:p>
    <w:p>
      <w:pPr>
        <w:pStyle w:val="Normal"/>
        <w:numPr>
          <w:ilvl w:val="0"/>
          <w:numId w:val="4"/>
        </w:numPr>
        <w:spacing w:lineRule="auto" w:line="240"/>
        <w:jc w:val="both"/>
        <w:rPr/>
      </w:pPr>
      <w:r>
        <w:rPr/>
        <w:t>Relevant Government Agencies</w:t>
      </w:r>
    </w:p>
    <w:p>
      <w:pPr>
        <w:pStyle w:val="Normal"/>
        <w:numPr>
          <w:ilvl w:val="0"/>
          <w:numId w:val="4"/>
        </w:numPr>
        <w:spacing w:lineRule="auto" w:line="240"/>
        <w:jc w:val="both"/>
        <w:rPr/>
      </w:pPr>
      <w:r>
        <w:rPr/>
        <w:t>CSOs</w:t>
      </w:r>
    </w:p>
    <w:p>
      <w:pPr>
        <w:pStyle w:val="Normal"/>
        <w:numPr>
          <w:ilvl w:val="0"/>
          <w:numId w:val="4"/>
        </w:numPr>
        <w:spacing w:lineRule="auto" w:line="240"/>
        <w:jc w:val="both"/>
        <w:rPr/>
      </w:pPr>
      <w:r>
        <w:rPr/>
        <w:t>Youth volunteers etc</w:t>
      </w:r>
    </w:p>
    <w:p>
      <w:pPr>
        <w:pStyle w:val="Normal"/>
        <w:spacing w:lineRule="auto" w:line="240"/>
        <w:jc w:val="both"/>
        <w:rPr/>
      </w:pPr>
      <w:r>
        <w:rPr/>
      </w:r>
    </w:p>
    <w:p>
      <w:pPr>
        <w:pStyle w:val="Normal"/>
        <w:spacing w:lineRule="auto" w:line="240" w:before="0" w:after="0"/>
        <w:jc w:val="both"/>
        <w:rPr>
          <w:b/>
          <w:b/>
          <w:sz w:val="28"/>
        </w:rPr>
      </w:pPr>
      <w:r>
        <w:rPr>
          <w:b/>
          <w:sz w:val="28"/>
        </w:rPr>
        <w:t xml:space="preserve">1.5 Key Outcomes </w:t>
      </w:r>
    </w:p>
    <w:p>
      <w:pPr>
        <w:pStyle w:val="Normal"/>
        <w:spacing w:lineRule="auto" w:line="240" w:before="0" w:after="0"/>
        <w:jc w:val="both"/>
        <w:rPr>
          <w:b/>
          <w:b/>
          <w:sz w:val="28"/>
        </w:rPr>
      </w:pPr>
      <w:r>
        <w:rPr>
          <w:b/>
          <w:sz w:val="28"/>
        </w:rPr>
      </w:r>
    </w:p>
    <w:p>
      <w:pPr>
        <w:pStyle w:val="ListParagraph"/>
        <w:numPr>
          <w:ilvl w:val="0"/>
          <w:numId w:val="3"/>
        </w:numPr>
        <w:spacing w:lineRule="auto" w:line="240" w:before="0" w:after="0"/>
        <w:jc w:val="both"/>
        <w:rPr/>
      </w:pPr>
      <w:r>
        <w:rPr/>
        <w:t>50 % Return on Investment</w:t>
      </w:r>
    </w:p>
    <w:p>
      <w:pPr>
        <w:pStyle w:val="ListParagraph"/>
        <w:numPr>
          <w:ilvl w:val="0"/>
          <w:numId w:val="3"/>
        </w:numPr>
        <w:spacing w:lineRule="auto" w:line="240" w:before="0" w:after="0"/>
        <w:jc w:val="both"/>
        <w:rPr/>
      </w:pPr>
      <w:r>
        <w:rPr/>
        <w:t>New product/technology Introduction</w:t>
      </w:r>
    </w:p>
    <w:p>
      <w:pPr>
        <w:pStyle w:val="ListParagraph"/>
        <w:numPr>
          <w:ilvl w:val="0"/>
          <w:numId w:val="3"/>
        </w:numPr>
        <w:spacing w:lineRule="auto" w:line="240" w:before="0" w:after="0"/>
        <w:jc w:val="both"/>
        <w:rPr/>
      </w:pPr>
      <w:r>
        <w:rPr/>
        <w:t>Technical Consultation among contractors, government agencies, suppliers, stakeholders etc.</w:t>
      </w:r>
    </w:p>
    <w:p>
      <w:pPr>
        <w:pStyle w:val="ListParagraph"/>
        <w:numPr>
          <w:ilvl w:val="0"/>
          <w:numId w:val="3"/>
        </w:numPr>
        <w:spacing w:lineRule="auto" w:line="240" w:before="0" w:after="0"/>
        <w:jc w:val="both"/>
        <w:rPr/>
      </w:pPr>
      <w:r>
        <w:rPr/>
        <w:t>Generated business opportunities for Bhutanese traders, event planners, caterers, security service provider, NGOs etc.</w:t>
      </w:r>
    </w:p>
    <w:p>
      <w:pPr>
        <w:pStyle w:val="ListParagraph"/>
        <w:numPr>
          <w:ilvl w:val="0"/>
          <w:numId w:val="3"/>
        </w:numPr>
        <w:spacing w:lineRule="auto" w:line="240" w:before="0" w:after="0"/>
        <w:jc w:val="both"/>
        <w:rPr/>
      </w:pPr>
      <w:r>
        <w:rPr/>
        <w:t>Generated positive leads for participating business entities</w:t>
      </w:r>
    </w:p>
    <w:p>
      <w:pPr>
        <w:pStyle w:val="ListParagraph"/>
        <w:numPr>
          <w:ilvl w:val="0"/>
          <w:numId w:val="3"/>
        </w:numPr>
        <w:spacing w:lineRule="auto" w:line="240" w:before="0" w:after="0"/>
        <w:jc w:val="both"/>
        <w:rPr/>
      </w:pPr>
      <w:r>
        <w:rPr/>
        <w:t>80 % of the participants found the event very satisfactory</w:t>
      </w:r>
    </w:p>
    <w:p>
      <w:pPr>
        <w:pStyle w:val="Normal"/>
        <w:spacing w:lineRule="auto" w:line="240" w:before="0" w:after="0"/>
        <w:jc w:val="both"/>
        <w:rPr/>
      </w:pPr>
      <w:r>
        <w:rPr/>
      </w:r>
    </w:p>
    <w:p>
      <w:pPr>
        <w:pStyle w:val="Normal"/>
        <w:keepNext/>
        <w:rPr/>
      </w:pPr>
      <w:r>
        <mc:AlternateContent>
          <mc:Choice Requires="wps">
            <w:drawing>
              <wp:anchor behindDoc="0" distT="0" distB="0" distL="114300" distR="114300" simplePos="0" locked="0" layoutInCell="1" allowOverlap="1" relativeHeight="9" wp14:anchorId="2B4F561A">
                <wp:simplePos x="0" y="0"/>
                <wp:positionH relativeFrom="column">
                  <wp:posOffset>3592830</wp:posOffset>
                </wp:positionH>
                <wp:positionV relativeFrom="paragraph">
                  <wp:posOffset>1862455</wp:posOffset>
                </wp:positionV>
                <wp:extent cx="2351405" cy="266065"/>
                <wp:effectExtent l="0" t="0" r="0" b="0"/>
                <wp:wrapSquare wrapText="bothSides"/>
                <wp:docPr id="15" name="Text Box 17"/>
                <a:graphic xmlns:a="http://schemas.openxmlformats.org/drawingml/2006/main">
                  <a:graphicData uri="http://schemas.microsoft.com/office/word/2010/wordprocessingShape">
                    <wps:wsp>
                      <wps:cNvSpPr/>
                      <wps:spPr>
                        <a:xfrm>
                          <a:off x="0" y="0"/>
                          <a:ext cx="2350800" cy="265320"/>
                        </a:xfrm>
                        <a:prstGeom prst="rect">
                          <a:avLst/>
                        </a:prstGeom>
                        <a:solidFill>
                          <a:srgbClr val="ffffff"/>
                        </a:solidFill>
                        <a:ln>
                          <a:noFill/>
                        </a:ln>
                      </wps:spPr>
                      <wps:style>
                        <a:lnRef idx="0"/>
                        <a:fillRef idx="0"/>
                        <a:effectRef idx="0"/>
                        <a:fontRef idx="minor"/>
                      </wps:style>
                      <wps:txbx>
                        <w:txbxContent>
                          <w:p>
                            <w:pPr>
                              <w:pStyle w:val="Caption1"/>
                              <w:spacing w:lineRule="auto" w:line="240" w:before="0" w:after="200"/>
                              <w:rPr/>
                            </w:pPr>
                            <w:r>
                              <w:rPr/>
                              <w:t>Figure 6 President of CAB with President of IFAWPCA</w:t>
                            </w:r>
                          </w:p>
                        </w:txbxContent>
                      </wps:txbx>
                      <wps:bodyPr lIns="0" rIns="0" tIns="0" bIns="0">
                        <a:prstTxWarp prst="textNoShape"/>
                        <a:spAutoFit/>
                      </wps:bodyPr>
                    </wps:wsp>
                  </a:graphicData>
                </a:graphic>
              </wp:anchor>
            </w:drawing>
          </mc:Choice>
          <mc:Fallback>
            <w:pict>
              <v:rect id="shape_0" ID="Text Box 17" fillcolor="white" stroked="f" style="position:absolute;margin-left:282.9pt;margin-top:146.65pt;width:185.05pt;height:20.85pt" wp14:anchorId="2B4F561A">
                <w10:wrap type="square"/>
                <v:fill o:detectmouseclick="t" type="solid" color2="black"/>
                <v:stroke color="#3465a4" joinstyle="round" endcap="flat"/>
                <v:textbox>
                  <w:txbxContent>
                    <w:p>
                      <w:pPr>
                        <w:pStyle w:val="Caption1"/>
                        <w:spacing w:lineRule="auto" w:line="240" w:before="0" w:after="200"/>
                        <w:rPr/>
                      </w:pPr>
                      <w:r>
                        <w:rPr/>
                        <w:t>Figure 6 President of CAB with President of IFAWPCA</w:t>
                      </w:r>
                    </w:p>
                  </w:txbxContent>
                </v:textbox>
              </v:rect>
            </w:pict>
          </mc:Fallback>
        </mc:AlternateContent>
        <w:drawing>
          <wp:anchor behindDoc="0" distT="0" distB="0" distL="0" distR="114935" simplePos="0" locked="0" layoutInCell="1" allowOverlap="1" relativeHeight="7">
            <wp:simplePos x="0" y="0"/>
            <wp:positionH relativeFrom="margin">
              <wp:align>left</wp:align>
            </wp:positionH>
            <wp:positionV relativeFrom="paragraph">
              <wp:posOffset>5715</wp:posOffset>
            </wp:positionV>
            <wp:extent cx="2399665" cy="1799590"/>
            <wp:effectExtent l="0" t="0" r="0" b="0"/>
            <wp:wrapSquare wrapText="bothSides"/>
            <wp:docPr id="17" name="Picture 12" descr="D:\cabwork\website design\Images for Website\Construction Fair 2017-Pics\34341803_1753731851359649_8141613600562216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D:\cabwork\website design\Images for Website\Construction Fair 2017-Pics\34341803_1753731851359649_8141613600562216960_n.jpg"/>
                    <pic:cNvPicPr>
                      <a:picLocks noChangeAspect="1" noChangeArrowheads="1"/>
                    </pic:cNvPicPr>
                  </pic:nvPicPr>
                  <pic:blipFill>
                    <a:blip r:embed="rId11"/>
                    <a:stretch>
                      <a:fillRect/>
                    </a:stretch>
                  </pic:blipFill>
                  <pic:spPr bwMode="auto">
                    <a:xfrm>
                      <a:off x="0" y="0"/>
                      <a:ext cx="2399665" cy="1799590"/>
                    </a:xfrm>
                    <a:prstGeom prst="rect">
                      <a:avLst/>
                    </a:prstGeom>
                  </pic:spPr>
                </pic:pic>
              </a:graphicData>
            </a:graphic>
          </wp:anchor>
        </w:drawing>
        <w:drawing>
          <wp:anchor behindDoc="0" distT="0" distB="0" distL="114300" distR="0" simplePos="0" locked="0" layoutInCell="1" allowOverlap="1" relativeHeight="8">
            <wp:simplePos x="0" y="0"/>
            <wp:positionH relativeFrom="margin">
              <wp:align>right</wp:align>
            </wp:positionH>
            <wp:positionV relativeFrom="paragraph">
              <wp:posOffset>5715</wp:posOffset>
            </wp:positionV>
            <wp:extent cx="2350770" cy="1799590"/>
            <wp:effectExtent l="0" t="0" r="0" b="0"/>
            <wp:wrapSquare wrapText="bothSides"/>
            <wp:docPr id="18" name="Picture 10" descr="D:\cabwork\website design\Images for Website\Construction Fair 2017-Pics\33583379_2120187844883407_2923180502871441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D:\cabwork\website design\Images for Website\Construction Fair 2017-Pics\33583379_2120187844883407_2923180502871441408_n.jpg"/>
                    <pic:cNvPicPr>
                      <a:picLocks noChangeAspect="1" noChangeArrowheads="1"/>
                    </pic:cNvPicPr>
                  </pic:nvPicPr>
                  <pic:blipFill>
                    <a:blip r:embed="rId12"/>
                    <a:stretch>
                      <a:fillRect/>
                    </a:stretch>
                  </pic:blipFill>
                  <pic:spPr bwMode="auto">
                    <a:xfrm>
                      <a:off x="0" y="0"/>
                      <a:ext cx="2350770" cy="1799590"/>
                    </a:xfrm>
                    <a:prstGeom prst="rect">
                      <a:avLst/>
                    </a:prstGeom>
                  </pic:spPr>
                </pic:pic>
              </a:graphicData>
            </a:graphic>
          </wp:anchor>
        </w:drawing>
      </w:r>
      <w:r>
        <w:rPr/>
        <w:t xml:space="preserve">                </w:t>
      </w:r>
    </w:p>
    <w:p>
      <w:pPr>
        <w:pStyle w:val="Caption1"/>
        <w:rPr/>
      </w:pPr>
      <w:r>
        <w:rPr/>
        <w:t>Figure 5 Earth-Moving Equipments at display</w:t>
      </w:r>
    </w:p>
    <w:p>
      <w:pPr>
        <w:pStyle w:val="Normal"/>
        <w:rPr>
          <w:rStyle w:val="SubtleEmphasis"/>
          <w:b/>
          <w:b/>
          <w:sz w:val="24"/>
        </w:rPr>
      </w:pPr>
      <w:r>
        <w:rPr/>
        <w:t xml:space="preserve">                     </w:t>
      </w:r>
    </w:p>
    <w:p>
      <w:pPr>
        <w:pStyle w:val="Normal"/>
        <w:spacing w:lineRule="auto" w:line="240" w:before="0" w:after="0"/>
        <w:jc w:val="both"/>
        <w:rPr>
          <w:sz w:val="24"/>
        </w:rPr>
      </w:pPr>
      <w:r>
        <w:rPr>
          <w:sz w:val="24"/>
        </w:rPr>
      </w:r>
    </w:p>
    <w:p>
      <w:pPr>
        <w:pStyle w:val="Normal"/>
        <w:spacing w:lineRule="auto" w:line="240" w:before="0" w:after="0"/>
        <w:jc w:val="both"/>
        <w:rPr>
          <w:sz w:val="24"/>
        </w:rPr>
      </w:pPr>
      <w:r>
        <w:rPr>
          <w:sz w:val="24"/>
        </w:rPr>
      </w:r>
    </w:p>
    <w:p>
      <w:pPr>
        <w:pStyle w:val="Normal"/>
        <w:spacing w:lineRule="auto" w:line="240" w:before="0" w:after="0"/>
        <w:jc w:val="both"/>
        <w:rPr>
          <w:sz w:val="24"/>
        </w:rPr>
      </w:pPr>
      <w:r>
        <w:rPr>
          <w:sz w:val="24"/>
        </w:rPr>
      </w:r>
    </w:p>
    <w:p>
      <w:pPr>
        <w:pStyle w:val="Normal"/>
        <w:spacing w:lineRule="auto" w:line="240" w:before="0" w:after="0"/>
        <w:jc w:val="both"/>
        <w:rPr>
          <w:sz w:val="24"/>
        </w:rPr>
      </w:pPr>
      <w:r>
        <w:rPr>
          <w:sz w:val="24"/>
        </w:rPr>
      </w:r>
    </w:p>
    <w:p>
      <w:pPr>
        <w:pStyle w:val="Normal"/>
        <w:spacing w:lineRule="auto" w:line="240" w:before="0" w:after="0"/>
        <w:jc w:val="both"/>
        <w:rPr>
          <w:sz w:val="24"/>
        </w:rPr>
      </w:pPr>
      <w:r>
        <w:rPr>
          <w:sz w:val="24"/>
        </w:rPr>
      </w:r>
    </w:p>
    <w:p>
      <w:pPr>
        <w:pStyle w:val="Normal"/>
        <w:spacing w:lineRule="auto" w:line="240" w:before="0" w:after="0"/>
        <w:jc w:val="both"/>
        <w:rPr>
          <w:sz w:val="24"/>
        </w:rPr>
      </w:pPr>
      <w:r>
        <w:rPr>
          <w:sz w:val="24"/>
        </w:rPr>
      </w:r>
    </w:p>
    <w:p>
      <w:pPr>
        <w:pStyle w:val="Normal"/>
        <w:spacing w:lineRule="auto" w:line="240" w:before="0" w:after="0"/>
        <w:jc w:val="both"/>
        <w:rPr>
          <w:sz w:val="24"/>
        </w:rPr>
      </w:pPr>
      <w:r>
        <w:rPr>
          <w:sz w:val="24"/>
        </w:rPr>
      </w:r>
    </w:p>
    <w:p>
      <w:pPr>
        <w:pStyle w:val="Normal"/>
        <w:spacing w:lineRule="auto" w:line="240" w:before="0" w:after="0"/>
        <w:jc w:val="both"/>
        <w:rPr>
          <w:sz w:val="24"/>
        </w:rPr>
      </w:pPr>
      <w:r>
        <w:rPr>
          <w:sz w:val="24"/>
        </w:rPr>
        <w:t xml:space="preserve">The importance of the Construction Fair and its ability to serve as an avenue for creating partnership and facilitating dialogues between different stakeholders to address critical challenges in the construction industry cannot be understated. The Construction Fair remains one of the key windows for CAB in reaching out to our members as part of our advocacy and awareness strategy intended for the capacity building of our local contractors. </w:t>
      </w:r>
    </w:p>
    <w:p>
      <w:pPr>
        <w:pStyle w:val="Normal"/>
        <w:rPr>
          <w:rStyle w:val="SubtleEmphasis"/>
          <w:b/>
          <w:b/>
          <w:sz w:val="24"/>
        </w:rPr>
      </w:pPr>
      <w:r>
        <w:rPr>
          <w:b/>
          <w:sz w:val="24"/>
        </w:rPr>
      </w:r>
    </w:p>
    <w:p>
      <w:pPr>
        <w:pStyle w:val="Normal"/>
        <w:rPr>
          <w:b/>
          <w:b/>
          <w:sz w:val="28"/>
        </w:rPr>
      </w:pPr>
      <w:r>
        <w:rPr>
          <w:b/>
          <w:sz w:val="28"/>
        </w:rPr>
        <w:t xml:space="preserve">2. </w:t>
      </w:r>
      <w:r>
        <w:rPr>
          <w:b/>
          <w:sz w:val="32"/>
        </w:rPr>
        <w:t>Consultative Workshop for Module Revision - Paro</w:t>
      </w:r>
    </w:p>
    <w:p>
      <w:pPr>
        <w:pStyle w:val="Normal"/>
        <w:jc w:val="both"/>
        <w:rPr>
          <w:sz w:val="24"/>
        </w:rPr>
      </w:pPr>
      <w:r>
        <w:rPr>
          <w:sz w:val="24"/>
        </w:rPr>
        <w:t xml:space="preserve">The Construction Development Board conducts the Induction course for new aspiring contractors and Refresher course for existing contractors. Such trainings are conducted in collaboration with institutions such as College of Science &amp; Technology in Phuentsholing and Jigme Namgyal Engineering College in Dewathang. The Induction Course serves to impart prerequisite knowledge &amp; information that are critical for the development of the contractors throughout the course of their contracting journey to bring about better performance outcomes, alternatively, the refresher course supplements the intent of Induction course by means of providing updated knowledge and information that come about due to rapid socio-economic growth and development within the construction industry. </w:t>
      </w:r>
    </w:p>
    <w:p>
      <w:pPr>
        <w:pStyle w:val="Normal"/>
        <w:jc w:val="both"/>
        <w:rPr>
          <w:sz w:val="24"/>
        </w:rPr>
      </w:pPr>
      <w:r>
        <w:rPr>
          <w:sz w:val="24"/>
        </w:rPr>
        <w:t>The courses underlined above are in essence the predominant foundational courses that are being offered by CDB for building capacity of construction professionals which aims to sensitize and advocate contractors/aspiring contractors on the general construction practices and the overall construction framework.  The courses encapsulate broad range of modules such as aspects of tendering &amp; contracting, project management, quality control &amp; assurance, occupational health &amp; safety, mechanization &amp; technological development in construction industry among other things.</w:t>
      </w:r>
    </w:p>
    <w:p>
      <w:pPr>
        <w:pStyle w:val="Normal"/>
        <w:jc w:val="both"/>
        <w:rPr>
          <w:sz w:val="24"/>
        </w:rPr>
      </w:pPr>
      <w:r>
        <w:rPr>
          <w:sz w:val="24"/>
        </w:rPr>
        <w:t xml:space="preserve">Taking into account the rapid modernization and technological development, the training module needs to be constantly updated &amp; revised in conformity to the changing times such that the training programmes achieve their intended purpose effectively. Towards that end, a consultative workshop was organised by CDB from which included stakeholders such as College of Science and Technology (CST), MoWHS and the Construction Association of Bhutan (CAB). </w:t>
      </w:r>
    </w:p>
    <w:p>
      <w:pPr>
        <w:pStyle w:val="Normal"/>
        <w:jc w:val="both"/>
        <w:rPr>
          <w:sz w:val="24"/>
        </w:rPr>
      </w:pPr>
      <w:r>
        <w:rPr>
          <w:sz w:val="24"/>
        </w:rPr>
        <w:t xml:space="preserve">The workshop discussed the need for a multi-dimensional training pedagogy with more emphasis on hands on training and learning by doing approaches. Taking into consideration that much of the contractors are illiterate, this approach is perceived as a more effective way of imparting the course content rather than a conventional class room approach. The workshop came up with the general outline for the new module which will serve as a guiding framework for developing the overall module with comprehensible &amp; inclusive course content. </w:t>
      </w:r>
    </w:p>
    <w:p>
      <w:pPr>
        <w:pStyle w:val="Normal"/>
        <w:jc w:val="both"/>
        <w:rPr>
          <w:sz w:val="24"/>
        </w:rPr>
      </w:pPr>
      <w:r>
        <w:rPr>
          <w:sz w:val="24"/>
        </w:rPr>
        <w:t>Such training plays a very significant role in capacitating Bhutanese contractors to become professional players not only in our country but also in the international domain. The need for similar trainings and capacity building programs is becoming more necessary in the construction industry and calls for immediate intervention from all stakeholders concerned in directing their efforts &amp; resources towards addressing these needs.</w:t>
      </w:r>
    </w:p>
    <w:p>
      <w:pPr>
        <w:pStyle w:val="Normal"/>
        <w:keepNext/>
        <w:jc w:val="both"/>
        <w:rPr/>
      </w:pPr>
      <w:r>
        <w:rPr/>
        <w:drawing>
          <wp:inline distT="0" distB="0" distL="0" distR="0">
            <wp:extent cx="5200650" cy="2915920"/>
            <wp:effectExtent l="0" t="0" r="0" b="0"/>
            <wp:docPr id="19"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
                    <pic:cNvPicPr>
                      <a:picLocks noChangeAspect="1" noChangeArrowheads="1"/>
                    </pic:cNvPicPr>
                  </pic:nvPicPr>
                  <pic:blipFill>
                    <a:blip r:embed="rId13"/>
                    <a:stretch>
                      <a:fillRect/>
                    </a:stretch>
                  </pic:blipFill>
                  <pic:spPr bwMode="auto">
                    <a:xfrm>
                      <a:off x="0" y="0"/>
                      <a:ext cx="5200650" cy="2915920"/>
                    </a:xfrm>
                    <a:prstGeom prst="rect">
                      <a:avLst/>
                    </a:prstGeom>
                  </pic:spPr>
                </pic:pic>
              </a:graphicData>
            </a:graphic>
          </wp:inline>
        </w:drawing>
      </w:r>
    </w:p>
    <w:p>
      <w:pPr>
        <w:pStyle w:val="Caption1"/>
        <w:jc w:val="both"/>
        <w:rPr>
          <w:sz w:val="24"/>
        </w:rPr>
      </w:pPr>
      <w:r>
        <w:rPr/>
        <w:t>Figure 7 Participants at the Consultative meeting for Training Module Revision at Paro</w:t>
      </w:r>
    </w:p>
    <w:p>
      <w:pPr>
        <w:pStyle w:val="Normal"/>
        <w:jc w:val="both"/>
        <w:rPr>
          <w:b/>
          <w:b/>
          <w:sz w:val="32"/>
          <w:lang w:val="en-US"/>
        </w:rPr>
      </w:pPr>
      <w:r>
        <w:rPr>
          <w:b/>
          <w:sz w:val="32"/>
          <w:lang w:val="en-US"/>
        </w:rPr>
        <w:t>3. ADR Rules &amp; Regulations 2018- Workshop</w:t>
      </w:r>
    </w:p>
    <w:p>
      <w:pPr>
        <w:pStyle w:val="Normal"/>
        <w:jc w:val="both"/>
        <w:rPr>
          <w:sz w:val="24"/>
          <w:lang w:val="en-US"/>
        </w:rPr>
      </w:pPr>
      <w:r>
        <w:rPr>
          <w:sz w:val="24"/>
          <w:lang w:val="en-US"/>
        </w:rPr>
        <w:t xml:space="preserve">Judicial review remedy plays a very significant role in safeguarding the fairness and integrity of a competitive bidding system. It serves as a means to levy accountability on the actions/decisions of the parties to a contract and also impress on them the ability or assurance to enforce their contractual rights. However, due to the lengthy &amp; convoluted bureaucratic procedure of the formal judicial court system, the efficacy of the judicial review remedy is often questioned. In order to address these inadequacies, the Government enacted the Bhutan Alternative Dispute Resolution Act 2013 which allows for the resolution of disputes outside of the courtroom in a much speedy &amp; flexible manner. </w:t>
      </w:r>
    </w:p>
    <w:p>
      <w:pPr>
        <w:pStyle w:val="Normal"/>
        <w:jc w:val="both"/>
        <w:rPr>
          <w:sz w:val="24"/>
          <w:lang w:val="en-US"/>
        </w:rPr>
      </w:pPr>
      <w:r>
        <w:rPr>
          <w:sz w:val="24"/>
          <w:lang w:val="en-US"/>
        </w:rPr>
        <w:t>Alternative Dispute Resolution techniques are gaining popularity in our country and Arbitration in particular is being widely adopted as a dispute resolution mechanism, especially in the construction contracts. Arbitration is ideally suited for construction related disputes because, it offers greater time and cost savings as compared to the conventional judicial system. Furthermore, the whole framework can be designed to be responsive to the need of the parties and usually guarantees amicable resolution of the dispute.</w:t>
      </w:r>
    </w:p>
    <w:p>
      <w:pPr>
        <w:pStyle w:val="Normal"/>
        <w:jc w:val="both"/>
        <w:rPr>
          <w:sz w:val="24"/>
          <w:lang w:val="en-US"/>
        </w:rPr>
      </w:pPr>
      <w:r>
        <w:rPr>
          <w:sz w:val="24"/>
          <w:lang w:val="en-US"/>
        </w:rPr>
        <w:t xml:space="preserve">Until the establishment of the Bhutan Alternative Dispute Resolution Centre in June 2018, Arbitration in construction sector was facilitated by the Construction Arbitration Facilitation Centre (CAFC) under Construction Development Board (CDB). The mandate of the CAFC ceased with the official launch of the Bhutan ADR centre. Consequently, all construction related disputes are thereafter referred to and facilitated by the Bhutan ADR Centre in line with the provisions of the Bhutan ADR Act 2013. </w:t>
      </w:r>
    </w:p>
    <w:p>
      <w:pPr>
        <w:pStyle w:val="Normal"/>
        <w:jc w:val="both"/>
        <w:rPr>
          <w:sz w:val="24"/>
          <w:lang w:val="en-US"/>
        </w:rPr>
      </w:pPr>
      <w:r>
        <w:rPr>
          <w:sz w:val="24"/>
          <w:lang w:val="en-US"/>
        </w:rPr>
        <w:t>In order to give effect and clarity to the Bhutan ADR Act 2013 during its practical application, it was necessary for the centre to formulate its rules &amp; regulations that is in conjunction to the Bhutan ADR Act. For that purpose, a ten-member taskforce team with representation from various Govt. agencies, private law firms, Construction Association of Bhutan &amp; the Bhutan ADR centre was constituted. Subsequently, the taskforce member came up with the first draft of the Bhutan ADR Rules &amp; Regulations 2018 as the outcome of the thorough deliberation, research &amp; review carried out as part of the formulation &amp; codification workshop carried out from 13</w:t>
      </w:r>
      <w:r>
        <w:rPr>
          <w:sz w:val="24"/>
          <w:vertAlign w:val="superscript"/>
          <w:lang w:val="en-US"/>
        </w:rPr>
        <w:t>th</w:t>
      </w:r>
      <w:r>
        <w:rPr>
          <w:sz w:val="24"/>
          <w:lang w:val="en-US"/>
        </w:rPr>
        <w:t xml:space="preserve"> to 22</w:t>
      </w:r>
      <w:r>
        <w:rPr>
          <w:sz w:val="24"/>
          <w:vertAlign w:val="superscript"/>
          <w:lang w:val="en-US"/>
        </w:rPr>
        <w:t>nd</w:t>
      </w:r>
      <w:r>
        <w:rPr>
          <w:sz w:val="24"/>
          <w:lang w:val="en-US"/>
        </w:rPr>
        <w:t xml:space="preserve"> August, 2018. </w:t>
      </w:r>
    </w:p>
    <w:p>
      <w:pPr>
        <w:pStyle w:val="Normal"/>
        <w:jc w:val="both"/>
        <w:rPr>
          <w:sz w:val="24"/>
          <w:lang w:val="en-US"/>
        </w:rPr>
      </w:pPr>
      <w:r>
        <w:rPr>
          <w:sz w:val="24"/>
          <w:lang w:val="en-US"/>
        </w:rPr>
        <w:t xml:space="preserve">The stakeholder consultation workshop to gather additional input, comments and suggestions for the first draft of Bhutan ADR Rules &amp; Regulations 2018 were also carried out in various dzongkhags to main focus groups which included representative from procuring agencies, lawyers, arbitrators and contractors. With the incorporation of the major reviews from various stakeholders, the final Rules &amp; Regulations is expected to be a coherent and a comprehensible document to augment the extant ADR act 2013 in delivering its intended objective of rendering speedy and efficient justice. </w:t>
      </w:r>
    </w:p>
    <w:p>
      <w:pPr>
        <w:pStyle w:val="Normal"/>
        <w:jc w:val="both"/>
        <w:rPr>
          <w:sz w:val="24"/>
          <w:lang w:val="en-US"/>
        </w:rPr>
      </w:pPr>
      <w:r>
        <w:rPr/>
        <w:drawing>
          <wp:inline distT="0" distB="0" distL="0" distR="0">
            <wp:extent cx="2592705" cy="1943735"/>
            <wp:effectExtent l="0" t="0" r="0" b="0"/>
            <wp:docPr id="21" name="Picture 21" descr="D:\cabwork\Annual report\pics\IMG_20180926_09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cabwork\Annual report\pics\IMG_20180926_092939.jpg"/>
                    <pic:cNvPicPr>
                      <a:picLocks noChangeAspect="1" noChangeArrowheads="1"/>
                    </pic:cNvPicPr>
                  </pic:nvPicPr>
                  <pic:blipFill>
                    <a:blip r:embed="rId15"/>
                    <a:stretch>
                      <a:fillRect/>
                    </a:stretch>
                  </pic:blipFill>
                  <pic:spPr bwMode="auto">
                    <a:xfrm>
                      <a:off x="0" y="0"/>
                      <a:ext cx="2592705" cy="1943735"/>
                    </a:xfrm>
                    <a:prstGeom prst="rect">
                      <a:avLst/>
                    </a:prstGeom>
                  </pic:spPr>
                </pic:pic>
              </a:graphicData>
            </a:graphic>
          </wp:inline>
        </w:drawing>
        <w:drawing>
          <wp:anchor behindDoc="0" distT="0" distB="0" distL="114300" distR="0" simplePos="0" locked="0" layoutInCell="1" allowOverlap="1" relativeHeight="10">
            <wp:simplePos x="0" y="0"/>
            <wp:positionH relativeFrom="margin">
              <wp:align>right</wp:align>
            </wp:positionH>
            <wp:positionV relativeFrom="paragraph">
              <wp:posOffset>635</wp:posOffset>
            </wp:positionV>
            <wp:extent cx="2592070" cy="1943735"/>
            <wp:effectExtent l="0" t="0" r="0" b="0"/>
            <wp:wrapSquare wrapText="bothSides"/>
            <wp:docPr id="20" name="Picture 20" descr="D:\cabwork\Annual report\pics\IMG_20180929_1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cabwork\Annual report\pics\IMG_20180929_102504.jpg"/>
                    <pic:cNvPicPr>
                      <a:picLocks noChangeAspect="1" noChangeArrowheads="1"/>
                    </pic:cNvPicPr>
                  </pic:nvPicPr>
                  <pic:blipFill>
                    <a:blip r:embed="rId14"/>
                    <a:stretch>
                      <a:fillRect/>
                    </a:stretch>
                  </pic:blipFill>
                  <pic:spPr bwMode="auto">
                    <a:xfrm>
                      <a:off x="0" y="0"/>
                      <a:ext cx="2592070" cy="1943735"/>
                    </a:xfrm>
                    <a:prstGeom prst="rect">
                      <a:avLst/>
                    </a:prstGeom>
                  </pic:spPr>
                </pic:pic>
              </a:graphicData>
            </a:graphic>
          </wp:anchor>
        </w:drawing>
      </w:r>
    </w:p>
    <w:p>
      <w:pPr>
        <w:pStyle w:val="Normal"/>
        <w:jc w:val="both"/>
        <w:rPr>
          <w:lang w:val="en-US"/>
        </w:rPr>
      </w:pPr>
      <w:r>
        <w:rPr>
          <w:lang w:val="en-US"/>
        </w:rPr>
        <w:drawing>
          <wp:anchor behindDoc="0" distT="0" distB="0" distL="114300" distR="114300" simplePos="0" locked="0" layoutInCell="1" allowOverlap="1" relativeHeight="11">
            <wp:simplePos x="0" y="0"/>
            <wp:positionH relativeFrom="margin">
              <wp:posOffset>523240</wp:posOffset>
            </wp:positionH>
            <wp:positionV relativeFrom="paragraph">
              <wp:posOffset>121285</wp:posOffset>
            </wp:positionV>
            <wp:extent cx="2593340" cy="1943735"/>
            <wp:effectExtent l="0" t="0" r="0" b="0"/>
            <wp:wrapSquare wrapText="bothSides"/>
            <wp:docPr id="22" name="Picture 19" descr="D:\cabwork\Annual report\pics\IMG_20180929_10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D:\cabwork\Annual report\pics\IMG_20180929_102441.jpg"/>
                    <pic:cNvPicPr>
                      <a:picLocks noChangeAspect="1" noChangeArrowheads="1"/>
                    </pic:cNvPicPr>
                  </pic:nvPicPr>
                  <pic:blipFill>
                    <a:blip r:embed="rId16"/>
                    <a:stretch>
                      <a:fillRect/>
                    </a:stretch>
                  </pic:blipFill>
                  <pic:spPr bwMode="auto">
                    <a:xfrm>
                      <a:off x="0" y="0"/>
                      <a:ext cx="2593340" cy="1943735"/>
                    </a:xfrm>
                    <a:prstGeom prst="rect">
                      <a:avLst/>
                    </a:prstGeom>
                  </pic:spPr>
                </pic:pic>
              </a:graphicData>
            </a:graphic>
          </wp:anchor>
        </w:drawing>
      </w:r>
    </w:p>
    <w:p>
      <w:pPr>
        <w:pStyle w:val="Normal"/>
        <w:jc w:val="both"/>
        <w:rPr>
          <w:b/>
          <w:b/>
          <w:sz w:val="32"/>
          <w:lang w:val="en-US"/>
        </w:rPr>
      </w:pPr>
      <w:r>
        <w:rPr>
          <w:b/>
          <w:sz w:val="32"/>
          <w:lang w:val="en-US"/>
        </w:rPr>
      </w:r>
    </w:p>
    <w:p>
      <w:pPr>
        <w:pStyle w:val="Normal"/>
        <w:jc w:val="both"/>
        <w:rPr>
          <w:b/>
          <w:b/>
          <w:sz w:val="32"/>
          <w:lang w:val="en-US"/>
        </w:rPr>
      </w:pPr>
      <w:r>
        <w:rPr>
          <w:b/>
          <w:sz w:val="32"/>
          <w:lang w:val="en-US"/>
        </w:rPr>
        <mc:AlternateContent>
          <mc:Choice Requires="wps">
            <w:drawing>
              <wp:anchor behindDoc="0" distT="0" distB="0" distL="114300" distR="114300" simplePos="0" locked="0" layoutInCell="1" allowOverlap="1" relativeHeight="12" wp14:anchorId="1D63B455">
                <wp:simplePos x="0" y="0"/>
                <wp:positionH relativeFrom="page">
                  <wp:posOffset>4589145</wp:posOffset>
                </wp:positionH>
                <wp:positionV relativeFrom="paragraph">
                  <wp:posOffset>266700</wp:posOffset>
                </wp:positionV>
                <wp:extent cx="2593340" cy="399415"/>
                <wp:effectExtent l="0" t="0" r="0" b="0"/>
                <wp:wrapSquare wrapText="bothSides"/>
                <wp:docPr id="23" name="Text Box 22"/>
                <a:graphic xmlns:a="http://schemas.openxmlformats.org/drawingml/2006/main">
                  <a:graphicData uri="http://schemas.microsoft.com/office/word/2010/wordprocessingShape">
                    <wps:wsp>
                      <wps:cNvSpPr/>
                      <wps:spPr>
                        <a:xfrm>
                          <a:off x="0" y="0"/>
                          <a:ext cx="2592720" cy="398880"/>
                        </a:xfrm>
                        <a:prstGeom prst="rect">
                          <a:avLst/>
                        </a:prstGeom>
                        <a:solidFill>
                          <a:srgbClr val="ffffff"/>
                        </a:solidFill>
                        <a:ln>
                          <a:noFill/>
                        </a:ln>
                      </wps:spPr>
                      <wps:style>
                        <a:lnRef idx="0"/>
                        <a:fillRef idx="0"/>
                        <a:effectRef idx="0"/>
                        <a:fontRef idx="minor"/>
                      </wps:style>
                      <wps:txbx>
                        <w:txbxContent>
                          <w:p>
                            <w:pPr>
                              <w:pStyle w:val="Caption1"/>
                              <w:spacing w:lineRule="auto" w:line="240" w:before="0" w:after="200"/>
                              <w:rPr/>
                            </w:pPr>
                            <w:r>
                              <w:rPr/>
                              <w:t>Figure 8 Few Snippets from Various Dzongkhags during ADRC Consultative Meeting</w:t>
                            </w:r>
                          </w:p>
                        </w:txbxContent>
                      </wps:txbx>
                      <wps:bodyPr lIns="0" rIns="0" tIns="0" bIns="0">
                        <a:prstTxWarp prst="textNoShape"/>
                        <a:spAutoFit/>
                      </wps:bodyPr>
                    </wps:wsp>
                  </a:graphicData>
                </a:graphic>
              </wp:anchor>
            </w:drawing>
          </mc:Choice>
          <mc:Fallback>
            <w:pict>
              <v:rect id="shape_0" ID="Text Box 22" fillcolor="white" stroked="f" style="position:absolute;margin-left:361.35pt;margin-top:21pt;width:204.1pt;height:31.35pt;mso-position-horizontal-relative:page" wp14:anchorId="1D63B455">
                <w10:wrap type="square"/>
                <v:fill o:detectmouseclick="t" type="solid" color2="black"/>
                <v:stroke color="#3465a4" joinstyle="round" endcap="flat"/>
                <v:textbox>
                  <w:txbxContent>
                    <w:p>
                      <w:pPr>
                        <w:pStyle w:val="Caption1"/>
                        <w:spacing w:lineRule="auto" w:line="240" w:before="0" w:after="200"/>
                        <w:rPr/>
                      </w:pPr>
                      <w:r>
                        <w:rPr/>
                        <w:t>Figure 8 Few Snippets from Various Dzongkhags during ADRC Consultative Meeting</w:t>
                      </w:r>
                    </w:p>
                  </w:txbxContent>
                </v:textbox>
              </v:rect>
            </w:pict>
          </mc:Fallback>
        </mc:AlternateContent>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t>4. Engagement of Local Contractors in 600 MW KHEP</w:t>
      </w:r>
    </w:p>
    <w:p>
      <w:pPr>
        <w:pStyle w:val="Normal"/>
        <w:jc w:val="both"/>
        <w:rPr>
          <w:sz w:val="24"/>
          <w:lang w:val="en-US"/>
        </w:rPr>
      </w:pPr>
      <w:r>
        <w:rPr>
          <w:sz w:val="24"/>
          <w:lang w:val="en-US"/>
        </w:rPr>
        <w:t xml:space="preserve">Hydropower is at the core of the economic development in our country starting from its initial construction phase. However, the involvement of Bhutanese actors in the construction of these mega projects is at most nominal and largely insignificant. Much of these can be attributed to the requirement of technical and financial capacity of huge degree which obviously Bhutanese bidders lack. The situation is further aggravated due to intransigent requirements of the bidding terms &amp; conditions; one such being the requirement of prior experience in the Hydropower works. Thus, it has always been a closed door for potential Bhutanese contractors interested to venture in Hydro works. </w:t>
      </w:r>
    </w:p>
    <w:p>
      <w:pPr>
        <w:pStyle w:val="Normal"/>
        <w:jc w:val="both"/>
        <w:rPr>
          <w:sz w:val="24"/>
          <w:lang w:val="en-US"/>
        </w:rPr>
      </w:pPr>
      <w:r>
        <w:rPr>
          <w:sz w:val="24"/>
          <w:lang w:val="en-US"/>
        </w:rPr>
        <w:t xml:space="preserve">However, with recent policy moderation in India aimed at attracting more competent contractors in the Hydropower Projects, the ripple effect has stimulated similar policy directives in Bhutan with relaxed and accommodating reforms, whereby Bhutanese contractors can qualify to participate in the main civil works of large hydropower projects. From a policy perspective, this reform in policies is a remarkable breakthrough, the onset of which has paved ways for integration of new strategies as part of the overall policy directive to encourage involvement and engagement of local contractors. </w:t>
      </w:r>
    </w:p>
    <w:p>
      <w:pPr>
        <w:pStyle w:val="Normal"/>
        <w:jc w:val="both"/>
        <w:rPr>
          <w:sz w:val="24"/>
          <w:lang w:val="en-US"/>
        </w:rPr>
      </w:pPr>
      <w:r>
        <w:rPr>
          <w:sz w:val="24"/>
          <w:lang w:val="en-US"/>
        </w:rPr>
        <w:t xml:space="preserve">The breakthrough comes at a time where the growth of most active large class contractors has become stagnant without further avenues to explore in the construction industry of Bhutan. With some of them venturing into hydropower project works, it will reinvigorate their growth and alternatively, reduce the cut-throat competition in other smaller works; stiff competition threatens the misuse of the competitive bidding process and also leads to poor work quality. </w:t>
      </w:r>
    </w:p>
    <w:p>
      <w:pPr>
        <w:pStyle w:val="Normal"/>
        <w:jc w:val="both"/>
        <w:rPr>
          <w:sz w:val="24"/>
          <w:lang w:val="en-US"/>
        </w:rPr>
      </w:pPr>
      <w:r>
        <w:rPr>
          <w:sz w:val="24"/>
          <w:lang w:val="en-US"/>
        </w:rPr>
        <w:t>The Inter-Governmental (IG) Agreement between GoI and RGoB for the development of four joint venture hydro-electric projects including 600 MW Kholongchhu Hydro Electric Project in eastern Bhutan through the Public sector undertakings of both the governments was signed on 22nd April 2014. The Kholongchhu Hydro Energy Limited has been registered as a Joint Venture Company of SJVN (India) and Druk Green (Bhutan) under the companies Act of Kingdom of Bhutan, 2000 on 12th June 2015 for the development of 600 MW Kholongchhu Hydro Electric Project.</w:t>
      </w:r>
    </w:p>
    <w:p>
      <w:pPr>
        <w:pStyle w:val="Normal"/>
        <w:jc w:val="both"/>
        <w:rPr>
          <w:sz w:val="24"/>
          <w:lang w:val="en-US"/>
        </w:rPr>
      </w:pPr>
      <w:r>
        <w:rPr>
          <w:sz w:val="24"/>
          <w:lang w:val="en-US"/>
        </w:rPr>
        <w:t>The 600 MW Kholongchhu Hydro Electric Project (KHEP) will be the first project where the new policy reforms to engage Bhutanese contractors would be implemented. The bidding terms &amp; conditions of the KHEP specifically entails that an Indian bidder for works under Contract Package KC-1(Dam Complex) &amp; KC-3(Power House Complex) shall mandatorily engage Bhutanese contractors either as JV/Consortium partner or alternatively off-load at least 20% of the value of contract to Bhutanese entity nominated by RGoB.</w:t>
      </w:r>
    </w:p>
    <w:p>
      <w:pPr>
        <w:pStyle w:val="Normal"/>
        <w:jc w:val="both"/>
        <w:rPr>
          <w:sz w:val="24"/>
          <w:lang w:val="en-US"/>
        </w:rPr>
      </w:pPr>
      <w:r>
        <w:rPr>
          <w:sz w:val="24"/>
          <w:lang w:val="en-US"/>
        </w:rPr>
        <w:t>A stakeholder meeting to discuss and devise mechanisms to better engage Bhutanese contractors in the 600 MW KHEP was conducted at the Energy Conference Hall, MoEA on 12</w:t>
      </w:r>
      <w:r>
        <w:rPr>
          <w:sz w:val="24"/>
          <w:vertAlign w:val="superscript"/>
          <w:lang w:val="en-US"/>
        </w:rPr>
        <w:t>th</w:t>
      </w:r>
      <w:r>
        <w:rPr>
          <w:sz w:val="24"/>
          <w:lang w:val="en-US"/>
        </w:rPr>
        <w:t xml:space="preserve"> October, 2018. The meeting was facilitated by the Department of Hydropower &amp; Power Systems (DHPS) and was attended by representative from Construction Development Board (CDB), Druk Green Power Corporation (DGPC), Kholongchu Hydroelectric Project (KHEP), Construction Development Corporation Limited (CDCL) &amp; Construction Association of Bhutan (CAB). </w:t>
      </w:r>
    </w:p>
    <w:p>
      <w:pPr>
        <w:pStyle w:val="Normal"/>
        <w:jc w:val="both"/>
        <w:rPr>
          <w:sz w:val="24"/>
          <w:lang w:val="en-US"/>
        </w:rPr>
      </w:pPr>
      <w:r>
        <w:rPr>
          <w:sz w:val="24"/>
          <w:lang w:val="en-US"/>
        </w:rPr>
        <w:t xml:space="preserve">The meeting accentuated the importance of the de facto participation of the local contractors and stressed that transfer of technological know-how &amp; imparting expertise to the local contractors should be the main emphasis of such arrangements. Likewise, potential local contractors are expected to make use of this opportunity to build their capacity and partake in the actual execution of the works. </w:t>
      </w:r>
    </w:p>
    <w:p>
      <w:pPr>
        <w:pStyle w:val="Normal"/>
        <w:jc w:val="both"/>
        <w:rPr>
          <w:sz w:val="24"/>
          <w:lang w:val="en-US"/>
        </w:rPr>
      </w:pPr>
      <w:r>
        <w:rPr>
          <w:sz w:val="24"/>
          <w:lang w:val="en-US"/>
        </w:rPr>
        <w:t>Subsequent meeting was conducted by CAB with the interested potential contractors to acquaint them with the policy reforms &amp; bidding provisions of the KHEP and to garner their views on these matters. The meeting that was conducted on 25</w:t>
      </w:r>
      <w:r>
        <w:rPr>
          <w:sz w:val="24"/>
          <w:vertAlign w:val="superscript"/>
          <w:lang w:val="en-US"/>
        </w:rPr>
        <w:t>th</w:t>
      </w:r>
      <w:r>
        <w:rPr>
          <w:sz w:val="24"/>
          <w:lang w:val="en-US"/>
        </w:rPr>
        <w:t xml:space="preserve"> October, 2018 at CAB Conference Hall was attended by around 40 contractors. Those present at the meeting commended the initiative of the govt. in achieving this breakthrough. Although only few contractors would qualify to participate in the works, the breakthrough in general was perceived as an opportunity for Bhutanese to take its first step into hydro works, whereby gradually other contractors can also follow suit. However, the need to implement a robust regulatory &amp; monitory framework was called for to ensure the efficacy of such undertakings. </w:t>
      </w:r>
    </w:p>
    <w:p>
      <w:pPr>
        <w:pStyle w:val="Normal"/>
        <w:jc w:val="both"/>
        <w:rPr>
          <w:sz w:val="24"/>
          <w:lang w:val="en-US"/>
        </w:rPr>
      </w:pPr>
      <w:r>
        <w:rPr>
          <w:sz w:val="24"/>
          <w:lang w:val="en-US"/>
        </w:rPr>
        <w:t xml:space="preserve">Needless to mention, Hydropower projects which are ideal for green energy-oriented country like ours, offers immense benefits in terms of socio-economic &amp; technological growth for the country. Even yet, we can still reap further benefits &amp; return on investment from hydro-projects if local businesses are involved in these projects from the implementation phase. To ideally realize these goals, capacitation &amp; facilitation through policy interventions is perceived as a very pertinent instrument and needs to be revisited often to confirm to developmental dynamics. </w:t>
      </w:r>
    </w:p>
    <w:p>
      <w:pPr>
        <w:pStyle w:val="Normal"/>
        <w:jc w:val="both"/>
        <w:rPr>
          <w:lang w:val="en-US"/>
        </w:rPr>
      </w:pPr>
      <w:r>
        <w:rPr>
          <w:lang w:val="en-US"/>
        </w:rPr>
      </w:r>
    </w:p>
    <w:p>
      <w:pPr>
        <w:pStyle w:val="Normal"/>
        <w:jc w:val="both"/>
        <w:rPr>
          <w:b/>
          <w:b/>
          <w:sz w:val="32"/>
        </w:rPr>
      </w:pPr>
      <w:r>
        <w:rPr>
          <w:b/>
          <w:sz w:val="32"/>
        </w:rPr>
        <w:t>5. Technical and Vocational Education and Training (TVET)</w:t>
      </w:r>
    </w:p>
    <w:p>
      <w:pPr>
        <w:pStyle w:val="Normal"/>
        <w:jc w:val="both"/>
        <w:rPr>
          <w:sz w:val="24"/>
        </w:rPr>
      </w:pPr>
      <w:r>
        <w:rPr>
          <w:sz w:val="24"/>
        </w:rPr>
        <w:t xml:space="preserve">The staggering rate of unemployment, in particular the unemployment rate of youth (13.2%, Labour Force Survey Report 2016) in our country is viewed as a growing concern and today, considerable attention and resources has been directed towards the TVET development and promotion as a means to curb the unemployment rate. However, the TVET programme remains challenged on various fonts with numerous constraints that deter the attraction of youth to participate in such programmes. </w:t>
      </w:r>
    </w:p>
    <w:p>
      <w:pPr>
        <w:pStyle w:val="Normal"/>
        <w:jc w:val="both"/>
        <w:rPr>
          <w:sz w:val="24"/>
        </w:rPr>
      </w:pPr>
      <w:r>
        <w:rPr>
          <w:sz w:val="24"/>
        </w:rPr>
        <w:t xml:space="preserve">The private construction sector, despite being the core contributor to the nation’s economic growth, has also failed to consolidate TVET programmes as an integral part of its framework. The sluggish momentum of the TVET programme in the construction sector can be attributed much, to the lack of interest of TVET trainees to work in construction sector after graduation which is further aggravated by the limited interest of the private construction firm to recruit the TVET trainees. It is easily conspicuous that the TVET trainee employment in construction sector is negligible and far from the desired level, which necessitates immediate intervention and additional efforts. </w:t>
      </w:r>
    </w:p>
    <w:p>
      <w:pPr>
        <w:pStyle w:val="Normal"/>
        <w:jc w:val="both"/>
        <w:rPr>
          <w:sz w:val="24"/>
        </w:rPr>
      </w:pPr>
      <w:r>
        <w:rPr>
          <w:sz w:val="24"/>
        </w:rPr>
        <w:t xml:space="preserve">Inherently, there is lot of rooms for improvement and in line with it, the Construction Association of Bhutan (CAB) endeavours to constantly advocate and promulgate the TVET policy to the construction industry and alternatively liaises intermittently with the government and relevant stakeholders to strategize approaches that are responsive and practicable to the changing circumstances. </w:t>
      </w:r>
    </w:p>
    <w:p>
      <w:pPr>
        <w:pStyle w:val="Normal"/>
        <w:jc w:val="both"/>
        <w:rPr/>
      </w:pPr>
      <w:r>
        <w:rPr/>
      </w:r>
    </w:p>
    <w:p>
      <w:pPr>
        <w:pStyle w:val="ListParagraph"/>
        <w:spacing w:lineRule="auto" w:line="259" w:before="0" w:after="160"/>
        <w:ind w:left="0" w:hanging="0"/>
        <w:jc w:val="both"/>
        <w:rPr>
          <w:b/>
          <w:b/>
          <w:sz w:val="28"/>
          <w:szCs w:val="28"/>
        </w:rPr>
      </w:pPr>
      <w:r>
        <w:rPr>
          <w:b/>
          <w:sz w:val="28"/>
          <w:szCs w:val="28"/>
        </w:rPr>
        <w:t>5.1 Consultation meeting with TVET special committee of National Council</w:t>
      </w:r>
    </w:p>
    <w:p>
      <w:pPr>
        <w:pStyle w:val="Normal"/>
        <w:jc w:val="both"/>
        <w:rPr/>
      </w:pPr>
      <w:r>
        <w:rPr/>
        <w:t xml:space="preserve">The TVET Special Committee of the National Council tasked with reviewing the quality of TVET sector solicited presentation from the CAB to present on the status of technical human resource in the construction sector and challenges faced by construction sector specific to these areas. </w:t>
      </w:r>
    </w:p>
    <w:p>
      <w:pPr>
        <w:pStyle w:val="Normal"/>
        <w:jc w:val="both"/>
        <w:rPr/>
      </w:pPr>
      <w:r>
        <w:rPr/>
        <w:t>The presentation to the Special Committee highlighted the importance of the Construction Sector to effectuate employment opportunities for the TVET trainees which can be attributed to various reasons including but not limited to strenuous job nature, unattractive pay scale &amp; benefits, job security, poor work environment, limited developmental prospects and the stiff competition from foreign workers, among other things.  In order to mitigate the problem at hand, various recommendations were submitted to the Special Committee as part of the presentation as follows:</w:t>
      </w:r>
    </w:p>
    <w:p>
      <w:pPr>
        <w:pStyle w:val="ListParagraph"/>
        <w:numPr>
          <w:ilvl w:val="0"/>
          <w:numId w:val="6"/>
        </w:numPr>
        <w:spacing w:lineRule="auto" w:line="259" w:before="0" w:after="160"/>
        <w:jc w:val="both"/>
        <w:rPr/>
      </w:pPr>
      <w:r>
        <w:rPr/>
        <w:t>Institution of policies that aim to close the gap between the income and the employment aspirations of technical graduates with those of the general education system graduates.</w:t>
      </w:r>
    </w:p>
    <w:p>
      <w:pPr>
        <w:pStyle w:val="ListParagraph"/>
        <w:numPr>
          <w:ilvl w:val="0"/>
          <w:numId w:val="6"/>
        </w:numPr>
        <w:spacing w:lineRule="auto" w:line="259" w:before="0" w:after="160"/>
        <w:jc w:val="both"/>
        <w:rPr/>
      </w:pPr>
      <w:r>
        <w:rPr/>
        <w:t xml:space="preserve">A wage structure for skilled national workers must be developed. It not only enables a decent standard of living for TVET takers, but also recognizes the importance of their hard-earned skills. </w:t>
      </w:r>
    </w:p>
    <w:p>
      <w:pPr>
        <w:pStyle w:val="ListParagraph"/>
        <w:numPr>
          <w:ilvl w:val="0"/>
          <w:numId w:val="6"/>
        </w:numPr>
        <w:spacing w:lineRule="auto" w:line="259" w:before="0" w:after="160"/>
        <w:jc w:val="both"/>
        <w:rPr/>
      </w:pPr>
      <w:r>
        <w:rPr/>
        <w:t>Assessing the possibilities of consolidating skilled workers under national civil service to enable them for pension benefits.</w:t>
      </w:r>
    </w:p>
    <w:p>
      <w:pPr>
        <w:pStyle w:val="ListParagraph"/>
        <w:numPr>
          <w:ilvl w:val="0"/>
          <w:numId w:val="6"/>
        </w:numPr>
        <w:spacing w:lineRule="auto" w:line="259" w:before="0" w:after="160"/>
        <w:jc w:val="both"/>
        <w:rPr/>
      </w:pPr>
      <w:r>
        <w:rPr/>
        <w:t xml:space="preserve">Creating and supporting a flexible, consistent, responsive apprenticeship system. </w:t>
      </w:r>
    </w:p>
    <w:p>
      <w:pPr>
        <w:pStyle w:val="ListParagraph"/>
        <w:numPr>
          <w:ilvl w:val="0"/>
          <w:numId w:val="6"/>
        </w:numPr>
        <w:spacing w:lineRule="auto" w:line="259" w:before="0" w:after="160"/>
        <w:jc w:val="both"/>
        <w:rPr/>
      </w:pPr>
      <w:r>
        <w:rPr/>
        <w:t>Creating an innovative, responsive training delivery system to maintain skill currency</w:t>
      </w:r>
    </w:p>
    <w:p>
      <w:pPr>
        <w:pStyle w:val="ListParagraph"/>
        <w:numPr>
          <w:ilvl w:val="0"/>
          <w:numId w:val="6"/>
        </w:numPr>
        <w:spacing w:lineRule="auto" w:line="259" w:before="0" w:after="160"/>
        <w:jc w:val="both"/>
        <w:rPr/>
      </w:pPr>
      <w:r>
        <w:rPr/>
        <w:t>Reduction in the need of labour through prefabrication, standardization, modularization, mechanization and developing multi-skill workers and motivating through reward management to increase the availability in supply of labour</w:t>
      </w:r>
    </w:p>
    <w:p>
      <w:pPr>
        <w:pStyle w:val="ListParagraph"/>
        <w:numPr>
          <w:ilvl w:val="0"/>
          <w:numId w:val="6"/>
        </w:numPr>
        <w:spacing w:lineRule="auto" w:line="259" w:before="0" w:after="160"/>
        <w:jc w:val="both"/>
        <w:rPr/>
      </w:pPr>
      <w:r>
        <w:rPr/>
        <w:t>Encourage construction firms to become more ICT centric through use of ICT facilities and employment of ICT professionals.</w:t>
      </w:r>
    </w:p>
    <w:p>
      <w:pPr>
        <w:pStyle w:val="ListParagraph"/>
        <w:numPr>
          <w:ilvl w:val="0"/>
          <w:numId w:val="6"/>
        </w:numPr>
        <w:spacing w:lineRule="auto" w:line="259" w:before="0" w:after="160"/>
        <w:jc w:val="both"/>
        <w:rPr/>
      </w:pPr>
      <w:r>
        <w:rPr/>
        <w:t>Special incentives and benefits to be devised which may include but not be limited to:</w:t>
      </w:r>
    </w:p>
    <w:p>
      <w:pPr>
        <w:pStyle w:val="ListParagraph"/>
        <w:numPr>
          <w:ilvl w:val="1"/>
          <w:numId w:val="6"/>
        </w:numPr>
        <w:spacing w:lineRule="auto" w:line="259" w:before="0" w:after="160"/>
        <w:jc w:val="both"/>
        <w:rPr/>
      </w:pPr>
      <w:r>
        <w:rPr/>
        <w:t>Tax rebates for businesses employing 100% Bhutanese nationals</w:t>
      </w:r>
    </w:p>
    <w:p>
      <w:pPr>
        <w:pStyle w:val="ListParagraph"/>
        <w:numPr>
          <w:ilvl w:val="1"/>
          <w:numId w:val="6"/>
        </w:numPr>
        <w:spacing w:lineRule="auto" w:line="259" w:before="0" w:after="160"/>
        <w:jc w:val="both"/>
        <w:rPr/>
      </w:pPr>
      <w:r>
        <w:rPr/>
        <w:t>Attractive stipends for TVET trainee</w:t>
      </w:r>
    </w:p>
    <w:p>
      <w:pPr>
        <w:pStyle w:val="ListParagraph"/>
        <w:numPr>
          <w:ilvl w:val="1"/>
          <w:numId w:val="6"/>
        </w:numPr>
        <w:spacing w:lineRule="auto" w:line="259" w:before="0" w:after="160"/>
        <w:jc w:val="both"/>
        <w:rPr/>
      </w:pPr>
      <w:r>
        <w:rPr/>
        <w:t xml:space="preserve">Subsidies on training </w:t>
      </w:r>
    </w:p>
    <w:p>
      <w:pPr>
        <w:pStyle w:val="ListParagraph"/>
        <w:numPr>
          <w:ilvl w:val="0"/>
          <w:numId w:val="6"/>
        </w:numPr>
        <w:spacing w:lineRule="auto" w:line="259" w:before="0" w:after="160"/>
        <w:jc w:val="both"/>
        <w:rPr/>
      </w:pPr>
      <w:r>
        <w:rPr/>
        <w:t xml:space="preserve">Businesses that are consistently or actively training nationals to replace expatriates should be assisted in further training of the national staff. </w:t>
      </w:r>
    </w:p>
    <w:p>
      <w:pPr>
        <w:pStyle w:val="ListParagraph"/>
        <w:numPr>
          <w:ilvl w:val="0"/>
          <w:numId w:val="6"/>
        </w:numPr>
        <w:spacing w:lineRule="auto" w:line="259" w:before="0" w:after="160"/>
        <w:jc w:val="both"/>
        <w:rPr/>
      </w:pPr>
      <w:r>
        <w:rPr/>
        <w:t>VTIs should offer short term (2-3 weeks) vocational skills improvement training programmes for people working in private companies.</w:t>
      </w:r>
    </w:p>
    <w:p>
      <w:pPr>
        <w:pStyle w:val="ListParagraph"/>
        <w:numPr>
          <w:ilvl w:val="0"/>
          <w:numId w:val="6"/>
        </w:numPr>
        <w:spacing w:lineRule="auto" w:line="259" w:before="0" w:after="160"/>
        <w:jc w:val="both"/>
        <w:rPr/>
      </w:pPr>
      <w:r>
        <w:rPr/>
        <w:t>Streamline and regulate foreign labour import.</w:t>
      </w:r>
    </w:p>
    <w:p>
      <w:pPr>
        <w:pStyle w:val="Normal"/>
        <w:keepNext/>
        <w:jc w:val="both"/>
        <w:rPr/>
      </w:pPr>
      <w:r>
        <w:rPr/>
        <w:drawing>
          <wp:anchor behindDoc="0" distT="0" distB="0" distL="114300" distR="123190" simplePos="0" locked="0" layoutInCell="1" allowOverlap="1" relativeHeight="13">
            <wp:simplePos x="0" y="0"/>
            <wp:positionH relativeFrom="column">
              <wp:posOffset>0</wp:posOffset>
            </wp:positionH>
            <wp:positionV relativeFrom="paragraph">
              <wp:posOffset>-2540</wp:posOffset>
            </wp:positionV>
            <wp:extent cx="3381375" cy="1799590"/>
            <wp:effectExtent l="0" t="0" r="0" b="0"/>
            <wp:wrapSquare wrapText="bothSides"/>
            <wp:docPr id="25" name="Picture 23" descr="D:\cabwork\Annual report\pics\NC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 descr="D:\cabwork\Annual report\pics\NCpic.jpg"/>
                    <pic:cNvPicPr>
                      <a:picLocks noChangeAspect="1" noChangeArrowheads="1"/>
                    </pic:cNvPicPr>
                  </pic:nvPicPr>
                  <pic:blipFill>
                    <a:blip r:embed="rId17"/>
                    <a:stretch>
                      <a:fillRect/>
                    </a:stretch>
                  </pic:blipFill>
                  <pic:spPr bwMode="auto">
                    <a:xfrm>
                      <a:off x="0" y="0"/>
                      <a:ext cx="3381375" cy="1799590"/>
                    </a:xfrm>
                    <a:prstGeom prst="rect">
                      <a:avLst/>
                    </a:prstGeom>
                  </pic:spPr>
                </pic:pic>
              </a:graphicData>
            </a:graphic>
          </wp:anchor>
        </w:drawing>
      </w:r>
    </w:p>
    <w:p>
      <w:pPr>
        <w:pStyle w:val="Caption1"/>
        <w:jc w:val="both"/>
        <w:rPr/>
      </w:pPr>
      <w:r>
        <w:rPr/>
      </w:r>
    </w:p>
    <w:p>
      <w:pPr>
        <w:pStyle w:val="Caption1"/>
        <w:jc w:val="both"/>
        <w:rPr/>
      </w:pPr>
      <w:r>
        <w:rPr/>
      </w:r>
    </w:p>
    <w:p>
      <w:pPr>
        <w:pStyle w:val="Caption1"/>
        <w:jc w:val="both"/>
        <w:rPr/>
      </w:pPr>
      <w:r>
        <w:rPr/>
        <w:t>Figure 9 Eminent members of the National Council</w:t>
      </w:r>
    </w:p>
    <w:p>
      <w:pPr>
        <w:pStyle w:val="Normal"/>
        <w:jc w:val="both"/>
        <w:rPr/>
      </w:pPr>
      <w:r>
        <w:rPr/>
      </w:r>
    </w:p>
    <w:p>
      <w:pPr>
        <w:pStyle w:val="Normal"/>
        <w:jc w:val="both"/>
        <w:rPr/>
      </w:pPr>
      <w:r>
        <w:rPr/>
      </w:r>
    </w:p>
    <w:p>
      <w:pPr>
        <w:pStyle w:val="Normal"/>
        <w:jc w:val="both"/>
        <w:rPr/>
      </w:pPr>
      <w:r>
        <w:rPr/>
        <w:t>CAB also presented the activities under pipeline to be implemented by CAB to address the issues of TVET employment in the Construction Sector. The activities are as underlined below:</w:t>
      </w:r>
    </w:p>
    <w:p>
      <w:pPr>
        <w:pStyle w:val="Normal"/>
        <w:jc w:val="both"/>
        <w:rPr>
          <w:b/>
          <w:b/>
          <w:sz w:val="24"/>
        </w:rPr>
      </w:pPr>
      <w:r>
        <w:rPr>
          <w:b/>
          <w:sz w:val="24"/>
        </w:rPr>
        <w:t>5.1.1</w:t>
      </w:r>
      <w:r>
        <w:rPr>
          <w:b/>
        </w:rPr>
        <w:t xml:space="preserve"> </w:t>
      </w:r>
      <w:r>
        <w:rPr>
          <w:b/>
          <w:sz w:val="24"/>
        </w:rPr>
        <w:t>Mandatory Apprenticeship Training Program (ATP) for 6 months with Construction Firms.</w:t>
      </w:r>
    </w:p>
    <w:p>
      <w:pPr>
        <w:pStyle w:val="Normal"/>
        <w:jc w:val="both"/>
        <w:rPr/>
      </w:pPr>
      <w:r>
        <w:rPr/>
        <w:t xml:space="preserve">It is perceived that the Apprenticeship Training Program implemented by MoLHR is found deficient and not producing the desire outcome, which is largely attributed to the complacent attitude of the firms as well as trainees. The intent to develop practicable skills and one’s own knowledge is absent from both the parties. Therefore, CAB intends to facilitate the mandatory placement of TVET trainees under mandatory apprenticeship up to 6 months with reputable construction firms. The program will be strictly monitored so that de facto participation of both parties is achieved resulting in the efficient skill transfer to the trainees. </w:t>
      </w:r>
    </w:p>
    <w:p>
      <w:pPr>
        <w:pStyle w:val="Normal"/>
        <w:jc w:val="both"/>
        <w:rPr/>
      </w:pPr>
      <w:r>
        <w:rPr/>
        <w:t>Apprenticeship requires the support of industry and the involvement of the employer to provide positions so that apprentices can gain the full breadth of experience they require.</w:t>
      </w:r>
    </w:p>
    <w:p>
      <w:pPr>
        <w:pStyle w:val="Normal"/>
        <w:jc w:val="both"/>
        <w:rPr/>
      </w:pPr>
      <w:r>
        <w:rPr>
          <w:b/>
          <w:sz w:val="24"/>
        </w:rPr>
        <w:t>5.1.2 Formation of Specialized Trades Contractor</w:t>
      </w:r>
    </w:p>
    <w:p>
      <w:pPr>
        <w:pStyle w:val="Normal"/>
        <w:jc w:val="both"/>
        <w:rPr/>
      </w:pPr>
      <w:r>
        <w:rPr/>
        <w:t>Facilitate formation of groups of specialized trades contractor (thaekedar system) particular to Critical skills worker such as Electricians, Plumbers, Welders, Mason etc consolidated under CAB to take up works as sub-contractors (Skilled Labour Bank)</w:t>
      </w:r>
    </w:p>
    <w:p>
      <w:pPr>
        <w:pStyle w:val="Normal"/>
        <w:jc w:val="both"/>
        <w:rPr/>
      </w:pPr>
      <w:r>
        <w:rPr>
          <w:b/>
          <w:sz w:val="24"/>
        </w:rPr>
        <w:t>5.1.3 Microfinance</w:t>
      </w:r>
    </w:p>
    <w:p>
      <w:pPr>
        <w:pStyle w:val="Normal"/>
        <w:jc w:val="both"/>
        <w:rPr/>
      </w:pPr>
      <w:r>
        <w:rPr/>
        <w:t>Provide microfinancing support to specialised trades contractor to mobilize their works.</w:t>
      </w:r>
    </w:p>
    <w:p>
      <w:pPr>
        <w:pStyle w:val="Normal"/>
        <w:jc w:val="both"/>
        <w:rPr>
          <w:sz w:val="24"/>
        </w:rPr>
      </w:pPr>
      <w:r>
        <w:rPr>
          <w:b/>
          <w:sz w:val="24"/>
        </w:rPr>
        <w:t>5.1.4 Skills Training Program</w:t>
      </w:r>
    </w:p>
    <w:p>
      <w:pPr>
        <w:pStyle w:val="Normal"/>
        <w:jc w:val="both"/>
        <w:rPr/>
      </w:pPr>
      <w:r>
        <w:rPr/>
        <w:t xml:space="preserve">Training programs to ensure that the skills of the construction workforce remain current and likewise managerial &amp; leadership training to owners/managers of firms to be provided. </w:t>
      </w:r>
    </w:p>
    <w:p>
      <w:pPr>
        <w:pStyle w:val="Normal"/>
        <w:jc w:val="both"/>
        <w:rPr/>
      </w:pPr>
      <w:r>
        <w:rPr/>
        <w:t xml:space="preserve">The aforementioned training programs remain yet to be implemented because of the current lack of financial &amp; technical ability of CAB. As such, assistance from government in kick starting these programs were also requested. </w:t>
      </w:r>
    </w:p>
    <w:p>
      <w:pPr>
        <w:pStyle w:val="Normal"/>
        <w:jc w:val="both"/>
        <w:rPr/>
      </w:pPr>
      <w:r>
        <w:rPr/>
      </w:r>
    </w:p>
    <w:p>
      <w:pPr>
        <w:pStyle w:val="Normal"/>
        <w:jc w:val="both"/>
        <w:rPr>
          <w:b/>
          <w:b/>
          <w:sz w:val="28"/>
          <w:szCs w:val="28"/>
        </w:rPr>
      </w:pPr>
      <w:r>
        <w:rPr>
          <w:b/>
          <w:sz w:val="28"/>
          <w:szCs w:val="28"/>
        </w:rPr>
        <w:t>5.2 Dual Training Program Framework Development Workshop conducted by MoLHR in collaboration with HELVETAS</w:t>
      </w:r>
    </w:p>
    <w:p>
      <w:pPr>
        <w:pStyle w:val="Normal"/>
        <w:jc w:val="both"/>
        <w:rPr/>
      </w:pPr>
      <w:r>
        <w:rPr/>
        <w:t xml:space="preserve">The Department of Technical Education, MoLHR in collaboration with HELVETAS initiated the phase II of the Occupational Skills Development for the Construction Sector (OSD4CS) planned from August 2018- December 2022. The new phase will aim at stimulating healthy working symbiosis between the training providers and the trainees with major part of the program being undertaken in private firms; this approach is commonly known as Dual Training Program. To pilot this project, two occupations viz-a`-viz Masonry &amp; Carpentry in the construction sector will be given main focus. </w:t>
      </w:r>
    </w:p>
    <w:p>
      <w:pPr>
        <w:pStyle w:val="Normal"/>
        <w:jc w:val="both"/>
        <w:rPr/>
      </w:pPr>
      <w:r>
        <w:rPr/>
        <w:t>Consequently, a 2-day workshop from 8</w:t>
      </w:r>
      <w:r>
        <w:rPr>
          <w:vertAlign w:val="superscript"/>
        </w:rPr>
        <w:t>th</w:t>
      </w:r>
      <w:r>
        <w:rPr/>
        <w:t xml:space="preserve"> – 9</w:t>
      </w:r>
      <w:r>
        <w:rPr>
          <w:vertAlign w:val="superscript"/>
        </w:rPr>
        <w:t>th</w:t>
      </w:r>
      <w:r>
        <w:rPr/>
        <w:t xml:space="preserve"> November, 2018 was conducted to brainstorm &amp; identify critical elements necessary in developing a Dual Training Program Framework and Operational Guideline specific to the Bhutanese construction sector. The workshop organized by MoLHR &amp; HELVETAS was attended by various TTIs, private firms &amp; CAB. </w:t>
      </w:r>
    </w:p>
    <w:p>
      <w:pPr>
        <w:pStyle w:val="Normal"/>
        <w:jc w:val="both"/>
        <w:rPr/>
      </w:pPr>
      <w:r>
        <w:rPr/>
        <w:t xml:space="preserve">Although, DTP is a fairly new concept in Bhutan, it is adopted in many European countries and also in various Asian countries such as Philippines, Bangladesh etc. and has produced positive results in contributing towards strengthening the TVET program. The DTP is expected to holistically address the key challenges related to Access, Quality, Governance and Relevance associated with TVET program in Bhutan.  Additionally, the DTP is viewed as a platform to motivate private sector participation in government undertakings, thereby enabling the transition of the Government as the Provider to that of the Enabler of public services. </w:t>
      </w:r>
    </w:p>
    <w:p>
      <w:pPr>
        <w:pStyle w:val="Normal"/>
        <w:jc w:val="both"/>
        <w:rPr/>
      </w:pPr>
      <w:r>
        <mc:AlternateContent>
          <mc:Choice Requires="wps">
            <w:drawing>
              <wp:anchor behindDoc="0" distT="0" distB="0" distL="114300" distR="114300" simplePos="0" locked="0" layoutInCell="1" allowOverlap="1" relativeHeight="15" wp14:anchorId="486D9911">
                <wp:simplePos x="0" y="0"/>
                <wp:positionH relativeFrom="column">
                  <wp:posOffset>0</wp:posOffset>
                </wp:positionH>
                <wp:positionV relativeFrom="paragraph">
                  <wp:posOffset>2177415</wp:posOffset>
                </wp:positionV>
                <wp:extent cx="2839085" cy="132715"/>
                <wp:effectExtent l="0" t="0" r="0" b="0"/>
                <wp:wrapSquare wrapText="bothSides"/>
                <wp:docPr id="26" name="Text Box 25"/>
                <a:graphic xmlns:a="http://schemas.openxmlformats.org/drawingml/2006/main">
                  <a:graphicData uri="http://schemas.microsoft.com/office/word/2010/wordprocessingShape">
                    <wps:wsp>
                      <wps:cNvSpPr/>
                      <wps:spPr>
                        <a:xfrm>
                          <a:off x="0" y="0"/>
                          <a:ext cx="2838600" cy="132120"/>
                        </a:xfrm>
                        <a:prstGeom prst="rect">
                          <a:avLst/>
                        </a:prstGeom>
                        <a:solidFill>
                          <a:srgbClr val="ffffff"/>
                        </a:solidFill>
                        <a:ln>
                          <a:noFill/>
                        </a:ln>
                      </wps:spPr>
                      <wps:style>
                        <a:lnRef idx="0"/>
                        <a:fillRef idx="0"/>
                        <a:effectRef idx="0"/>
                        <a:fontRef idx="minor"/>
                      </wps:style>
                      <wps:txbx>
                        <w:txbxContent>
                          <w:p>
                            <w:pPr>
                              <w:pStyle w:val="Caption1"/>
                              <w:spacing w:lineRule="auto" w:line="240" w:before="0" w:after="200"/>
                              <w:rPr/>
                            </w:pPr>
                            <w:r>
                              <w:rPr/>
                              <w:t>Figure 10 DTP Framework Workshop</w:t>
                            </w:r>
                          </w:p>
                        </w:txbxContent>
                      </wps:txbx>
                      <wps:bodyPr lIns="0" rIns="0" tIns="0" bIns="0">
                        <a:prstTxWarp prst="textNoShape"/>
                        <a:spAutoFit/>
                      </wps:bodyPr>
                    </wps:wsp>
                  </a:graphicData>
                </a:graphic>
              </wp:anchor>
            </w:drawing>
          </mc:Choice>
          <mc:Fallback>
            <w:pict>
              <v:rect id="shape_0" ID="Text Box 25" fillcolor="white" stroked="f" style="position:absolute;margin-left:0pt;margin-top:171.45pt;width:223.45pt;height:10.35pt" wp14:anchorId="486D9911">
                <w10:wrap type="square"/>
                <v:fill o:detectmouseclick="t" type="solid" color2="black"/>
                <v:stroke color="#3465a4" joinstyle="round" endcap="flat"/>
                <v:textbox>
                  <w:txbxContent>
                    <w:p>
                      <w:pPr>
                        <w:pStyle w:val="Caption1"/>
                        <w:spacing w:lineRule="auto" w:line="240" w:before="0" w:after="200"/>
                        <w:rPr/>
                      </w:pPr>
                      <w:r>
                        <w:rPr/>
                        <w:t>Figure 10 DTP Framework Workshop</w:t>
                      </w:r>
                    </w:p>
                  </w:txbxContent>
                </v:textbox>
              </v:rect>
            </w:pict>
          </mc:Fallback>
        </mc:AlternateContent>
        <w:drawing>
          <wp:anchor behindDoc="0" distT="0" distB="635" distL="0" distR="114300" simplePos="0" locked="0" layoutInCell="1" allowOverlap="1" relativeHeight="14">
            <wp:simplePos x="0" y="0"/>
            <wp:positionH relativeFrom="margin">
              <wp:align>left</wp:align>
            </wp:positionH>
            <wp:positionV relativeFrom="paragraph">
              <wp:posOffset>82550</wp:posOffset>
            </wp:positionV>
            <wp:extent cx="2838450" cy="2037715"/>
            <wp:effectExtent l="0" t="0" r="0" b="0"/>
            <wp:wrapSquare wrapText="bothSides"/>
            <wp:docPr id="28" name="Picture 24" descr="D:\cabwork\Annual report\pics\IMG_20181108_11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4" descr="D:\cabwork\Annual report\pics\IMG_20181108_113533.jpg"/>
                    <pic:cNvPicPr>
                      <a:picLocks noChangeAspect="1" noChangeArrowheads="1"/>
                    </pic:cNvPicPr>
                  </pic:nvPicPr>
                  <pic:blipFill>
                    <a:blip r:embed="rId18"/>
                    <a:stretch>
                      <a:fillRect/>
                    </a:stretch>
                  </pic:blipFill>
                  <pic:spPr bwMode="auto">
                    <a:xfrm>
                      <a:off x="0" y="0"/>
                      <a:ext cx="2838450" cy="2037715"/>
                    </a:xfrm>
                    <a:prstGeom prst="rect">
                      <a:avLst/>
                    </a:prstGeom>
                  </pic:spPr>
                </pic:pic>
              </a:graphicData>
            </a:graphic>
          </wp:anchor>
        </w:drawing>
      </w:r>
      <w:r>
        <w:rPr/>
        <w:t>Since the program will be hugely reliant on level of participation from the private firms in the construction sector, therein, the role of CAB in lobbying participation from construction firms is imperative in guaranteeing the success of the DTP in Bhutan.</w:t>
      </w:r>
    </w:p>
    <w:p>
      <w:pPr>
        <w:pStyle w:val="Normal"/>
        <w:jc w:val="both"/>
        <w:rPr>
          <w:sz w:val="24"/>
        </w:rPr>
      </w:pPr>
      <w:r>
        <w:rPr>
          <w:sz w:val="24"/>
        </w:rPr>
        <w:t xml:space="preserve">A robust and dynamic TVET framework if sturdily anchored within the human resource development system, will unquestionably in the coming years alleviate the problem of unemployment in the country to a great extent. It is therefore, pertinent to direct our attention to the private sector development since indubitably the private sector will be one of the key players for moving towards a more responsive and demand driven system. </w:t>
      </w:r>
    </w:p>
    <w:p>
      <w:pPr>
        <w:pStyle w:val="Normal"/>
        <w:jc w:val="both"/>
        <w:rPr/>
      </w:pPr>
      <w:r>
        <w:rPr/>
      </w:r>
    </w:p>
    <w:p>
      <w:pPr>
        <w:pStyle w:val="Normal"/>
        <w:jc w:val="both"/>
        <w:rPr/>
      </w:pPr>
      <w:r>
        <w:rPr/>
      </w:r>
    </w:p>
    <w:p>
      <w:pPr>
        <w:pStyle w:val="Normal"/>
        <w:spacing w:lineRule="auto" w:line="240"/>
        <w:jc w:val="both"/>
        <w:rPr>
          <w:b/>
          <w:b/>
          <w:sz w:val="32"/>
          <w:szCs w:val="28"/>
        </w:rPr>
      </w:pPr>
      <w:r>
        <w:rPr>
          <w:b/>
          <w:sz w:val="32"/>
          <w:szCs w:val="28"/>
        </w:rPr>
        <w:t>6. 44</w:t>
      </w:r>
      <w:r>
        <w:rPr>
          <w:b/>
          <w:sz w:val="32"/>
          <w:szCs w:val="28"/>
          <w:vertAlign w:val="superscript"/>
        </w:rPr>
        <w:t>th</w:t>
      </w:r>
      <w:r>
        <w:rPr>
          <w:b/>
          <w:sz w:val="32"/>
          <w:szCs w:val="28"/>
        </w:rPr>
        <w:t xml:space="preserve"> International Federation of Asian and Western Pacific Construction Association (IFAWPCA) Convention</w:t>
      </w:r>
    </w:p>
    <w:p>
      <w:pPr>
        <w:pStyle w:val="Normal"/>
        <w:spacing w:lineRule="auto" w:line="240"/>
        <w:jc w:val="both"/>
        <w:rPr>
          <w:sz w:val="24"/>
        </w:rPr>
      </w:pPr>
      <w:r>
        <w:rPr>
          <w:sz w:val="24"/>
        </w:rPr>
        <w:t xml:space="preserve">The 44th IFAWPCA Convention was held in Kuala Lumpur, Malaysia from 12th to 16th November 2018, on the theme “Strategic Alliance with Innovation and Human Capital”. The Convention was hosted by Master Builders Association Malaysia (MBAM). </w:t>
      </w:r>
    </w:p>
    <w:p>
      <w:pPr>
        <w:pStyle w:val="Normal"/>
        <w:keepNext/>
        <w:spacing w:lineRule="auto" w:line="360"/>
        <w:jc w:val="both"/>
        <w:rPr/>
      </w:pPr>
      <w:r>
        <w:rPr/>
        <w:drawing>
          <wp:inline distT="0" distB="4445" distL="0" distR="0">
            <wp:extent cx="4886325" cy="1995805"/>
            <wp:effectExtent l="0" t="0" r="0" b="0"/>
            <wp:docPr id="29"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descr=""/>
                    <pic:cNvPicPr>
                      <a:picLocks noChangeAspect="1" noChangeArrowheads="1"/>
                    </pic:cNvPicPr>
                  </pic:nvPicPr>
                  <pic:blipFill>
                    <a:blip r:embed="rId19"/>
                    <a:stretch>
                      <a:fillRect/>
                    </a:stretch>
                  </pic:blipFill>
                  <pic:spPr bwMode="auto">
                    <a:xfrm>
                      <a:off x="0" y="0"/>
                      <a:ext cx="4886325" cy="1995805"/>
                    </a:xfrm>
                    <a:prstGeom prst="rect">
                      <a:avLst/>
                    </a:prstGeom>
                  </pic:spPr>
                </pic:pic>
              </a:graphicData>
            </a:graphic>
          </wp:inline>
        </w:drawing>
      </w:r>
    </w:p>
    <w:p>
      <w:pPr>
        <w:pStyle w:val="Caption1"/>
        <w:jc w:val="both"/>
        <w:rPr>
          <w:rFonts w:ascii="Bookman Old Style" w:hAnsi="Bookman Old Style"/>
          <w:b/>
          <w:b/>
          <w:bCs/>
          <w:sz w:val="24"/>
          <w:szCs w:val="24"/>
        </w:rPr>
      </w:pPr>
      <w:r>
        <w:rPr/>
        <w:t>Figure 11 Opening Ceremony of the 44th IFAWPCA Convention</w:t>
      </w:r>
    </w:p>
    <w:p>
      <w:pPr>
        <w:pStyle w:val="Normal"/>
        <w:spacing w:lineRule="auto" w:line="240"/>
        <w:jc w:val="both"/>
        <w:rPr>
          <w:sz w:val="24"/>
        </w:rPr>
      </w:pPr>
      <w:r>
        <w:rPr>
          <w:sz w:val="24"/>
        </w:rPr>
        <w:t xml:space="preserve">The Construction Association of Bhutan (CAB) coordinated the program and sent 34 delegates from Bhutan to attend the Convention with the delegates financing their own expenses of participation. Taking note of the importance of such events, CAB in the future will endeavor to mobilize external resources to finance participation of its members. </w:t>
      </w:r>
    </w:p>
    <w:p>
      <w:pPr>
        <w:pStyle w:val="Normal"/>
        <w:spacing w:lineRule="auto" w:line="240"/>
        <w:jc w:val="both"/>
        <w:rPr>
          <w:sz w:val="24"/>
        </w:rPr>
      </w:pPr>
      <w:r>
        <w:rPr>
          <w:sz w:val="24"/>
        </w:rPr>
        <w:t>IFAWPCA is an international organization established in 1956 in Manila, Philippines. There were only 8(eight) founding members in its inception. Today it has members from 19 countries across the Asian and Western Pacific Region. The organization plays a crucial role in:</w:t>
      </w:r>
    </w:p>
    <w:p>
      <w:pPr>
        <w:pStyle w:val="ListParagraph"/>
        <w:numPr>
          <w:ilvl w:val="0"/>
          <w:numId w:val="7"/>
        </w:numPr>
        <w:spacing w:lineRule="auto" w:line="240"/>
        <w:jc w:val="both"/>
        <w:rPr>
          <w:sz w:val="24"/>
        </w:rPr>
      </w:pPr>
      <w:r>
        <w:rPr>
          <w:sz w:val="24"/>
        </w:rPr>
        <w:t>promoting international fellowship and cooperation;</w:t>
      </w:r>
    </w:p>
    <w:p>
      <w:pPr>
        <w:pStyle w:val="ListParagraph"/>
        <w:numPr>
          <w:ilvl w:val="0"/>
          <w:numId w:val="7"/>
        </w:numPr>
        <w:spacing w:lineRule="auto" w:line="240"/>
        <w:jc w:val="both"/>
        <w:rPr>
          <w:sz w:val="24"/>
        </w:rPr>
      </w:pPr>
      <w:r>
        <w:rPr>
          <w:sz w:val="24"/>
        </w:rPr>
        <w:t>developing beneficial relationship between governments and contractors in the region; and</w:t>
      </w:r>
    </w:p>
    <w:p>
      <w:pPr>
        <w:pStyle w:val="ListParagraph"/>
        <w:numPr>
          <w:ilvl w:val="0"/>
          <w:numId w:val="7"/>
        </w:numPr>
        <w:spacing w:lineRule="auto" w:line="240"/>
        <w:jc w:val="both"/>
        <w:rPr>
          <w:sz w:val="24"/>
        </w:rPr>
      </w:pPr>
      <w:r>
        <w:rPr>
          <w:sz w:val="24"/>
        </w:rPr>
        <w:t xml:space="preserve">establishing cooperative working arrangements in furtherance of civil and building construction projects. </w:t>
      </w:r>
    </w:p>
    <w:p>
      <w:pPr>
        <w:pStyle w:val="Normal"/>
        <w:spacing w:lineRule="auto" w:line="240"/>
        <w:jc w:val="both"/>
        <w:rPr>
          <w:sz w:val="24"/>
        </w:rPr>
      </w:pPr>
      <w:r>
        <w:rPr>
          <w:sz w:val="24"/>
        </w:rPr>
        <w:t xml:space="preserve">The Construction Association of Bhutan (CAB) became a member of IFAWPCA in 2017 with the sheer hard work and preservation of the current CAB President, often relying on his personal networks to gain membership. Since then the association has been attending all the related international events. President, CAB is one of the board members of the IFAWPCA. </w:t>
      </w:r>
    </w:p>
    <w:p>
      <w:pPr>
        <w:pStyle w:val="Normal"/>
        <w:keepNext/>
        <w:spacing w:lineRule="auto" w:line="360"/>
        <w:jc w:val="both"/>
        <w:rPr/>
      </w:pPr>
      <w:r>
        <w:rPr/>
        <w:drawing>
          <wp:inline distT="0" distB="0" distL="0" distR="0">
            <wp:extent cx="5943600" cy="1543050"/>
            <wp:effectExtent l="0" t="0" r="0" b="0"/>
            <wp:docPr id="3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
                    <pic:cNvPicPr>
                      <a:picLocks noChangeAspect="1" noChangeArrowheads="1"/>
                    </pic:cNvPicPr>
                  </pic:nvPicPr>
                  <pic:blipFill>
                    <a:blip r:embed="rId20"/>
                    <a:stretch>
                      <a:fillRect/>
                    </a:stretch>
                  </pic:blipFill>
                  <pic:spPr bwMode="auto">
                    <a:xfrm>
                      <a:off x="0" y="0"/>
                      <a:ext cx="5943600" cy="1543050"/>
                    </a:xfrm>
                    <a:prstGeom prst="rect">
                      <a:avLst/>
                    </a:prstGeom>
                  </pic:spPr>
                </pic:pic>
              </a:graphicData>
            </a:graphic>
          </wp:inline>
        </w:drawing>
      </w:r>
    </w:p>
    <w:p>
      <w:pPr>
        <w:pStyle w:val="Caption1"/>
        <w:jc w:val="both"/>
        <w:rPr>
          <w:rFonts w:ascii="Bookman Old Style" w:hAnsi="Bookman Old Style"/>
          <w:sz w:val="24"/>
          <w:szCs w:val="24"/>
        </w:rPr>
      </w:pPr>
      <w:r>
        <w:rPr/>
        <w:t>Figure 12  Second Executive Board Meeting, November 14, 2018, Kuala Lumpur, Malaysia</w:t>
      </w:r>
    </w:p>
    <w:p>
      <w:pPr>
        <w:pStyle w:val="Normal"/>
        <w:spacing w:lineRule="auto" w:line="240"/>
        <w:jc w:val="both"/>
        <w:rPr>
          <w:rFonts w:ascii="Bookman Old Style" w:hAnsi="Bookman Old Style" w:cs="Arial"/>
          <w:sz w:val="28"/>
          <w:szCs w:val="24"/>
          <w:highlight w:val="white"/>
        </w:rPr>
      </w:pPr>
      <w:r>
        <w:rPr>
          <w:sz w:val="24"/>
        </w:rPr>
        <w:t>The 44th IFAWPCA Conference has addressed the ever-growing challenges faced by the construction industry in dealing with unexpected external factors like sudden drops in commodity prices with new competition and global economic fluctuations moving towards the digitalized world. Renowned international speakers with relevant experience in building and construction were present to give insights and knowledge to the participants.</w:t>
      </w:r>
      <w:r>
        <w:rPr>
          <w:rFonts w:cs="Arial" w:ascii="Bookman Old Style" w:hAnsi="Bookman Old Style"/>
          <w:sz w:val="28"/>
          <w:szCs w:val="24"/>
          <w:shd w:fill="FFFFFF" w:val="clear"/>
        </w:rPr>
        <w:t xml:space="preserve"> </w:t>
      </w:r>
    </w:p>
    <w:p>
      <w:pPr>
        <w:pStyle w:val="Normal"/>
        <w:spacing w:lineRule="auto" w:line="240"/>
        <w:jc w:val="both"/>
        <w:rPr>
          <w:rFonts w:ascii="Bookman Old Style" w:hAnsi="Bookman Old Style" w:cs="Arial"/>
          <w:sz w:val="28"/>
          <w:szCs w:val="24"/>
          <w:shd w:fill="FFFFFF" w:val="clear"/>
        </w:rPr>
      </w:pPr>
      <w:r>
        <w:rPr>
          <w:rFonts w:cs="Arial" w:ascii="Bookman Old Style" w:hAnsi="Bookman Old Style"/>
          <w:sz w:val="28"/>
          <w:szCs w:val="24"/>
          <w:shd w:fill="FFFFFF" w:val="clear"/>
        </w:rPr>
        <w:drawing>
          <wp:anchor behindDoc="0" distT="0" distB="0" distL="0" distR="114300" simplePos="0" locked="0" layoutInCell="1" allowOverlap="1" relativeHeight="16">
            <wp:simplePos x="0" y="0"/>
            <wp:positionH relativeFrom="margin">
              <wp:align>left</wp:align>
            </wp:positionH>
            <wp:positionV relativeFrom="paragraph">
              <wp:posOffset>194945</wp:posOffset>
            </wp:positionV>
            <wp:extent cx="3677920" cy="1581150"/>
            <wp:effectExtent l="0" t="0" r="0" b="0"/>
            <wp:wrapSquare wrapText="bothSides"/>
            <wp:docPr id="31" name="Picture 7" descr="D:\cabwork\website design\Images for Website\IFAWPCA-44th convention pics\46139981_1980755748657257_56048371018550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descr="D:\cabwork\website design\Images for Website\IFAWPCA-44th convention pics\46139981_1980755748657257_560483710185504768_n.jpg"/>
                    <pic:cNvPicPr>
                      <a:picLocks noChangeAspect="1" noChangeArrowheads="1"/>
                    </pic:cNvPicPr>
                  </pic:nvPicPr>
                  <pic:blipFill>
                    <a:blip r:embed="rId21"/>
                    <a:stretch>
                      <a:fillRect/>
                    </a:stretch>
                  </pic:blipFill>
                  <pic:spPr bwMode="auto">
                    <a:xfrm>
                      <a:off x="0" y="0"/>
                      <a:ext cx="3677920" cy="1581150"/>
                    </a:xfrm>
                    <a:prstGeom prst="rect">
                      <a:avLst/>
                    </a:prstGeom>
                  </pic:spPr>
                </pic:pic>
              </a:graphicData>
            </a:graphic>
          </wp:anchor>
        </w:drawing>
      </w:r>
    </w:p>
    <w:p>
      <w:pPr>
        <w:pStyle w:val="Normal"/>
        <w:keepNext/>
        <w:spacing w:lineRule="auto" w:line="240"/>
        <w:jc w:val="both"/>
        <w:rPr/>
      </w:pPr>
      <w:r>
        <w:rPr/>
      </w:r>
    </w:p>
    <w:p>
      <w:pPr>
        <w:sectPr>
          <w:headerReference w:type="default" r:id="rId22"/>
          <w:footerReference w:type="default" r:id="rId23"/>
          <w:type w:val="nextPage"/>
          <w:pgSz w:w="12240" w:h="15840"/>
          <w:pgMar w:left="1440" w:right="1440" w:header="720" w:top="1440" w:footer="720" w:bottom="1440" w:gutter="0"/>
          <w:pgNumType w:start="0" w:fmt="decimal"/>
          <w:formProt w:val="false"/>
          <w:titlePg/>
          <w:textDirection w:val="lrTb"/>
          <w:docGrid w:type="default" w:linePitch="360" w:charSpace="4294965247"/>
        </w:sectPr>
        <w:pStyle w:val="Caption1"/>
        <w:jc w:val="both"/>
        <w:rPr>
          <w:rFonts w:ascii="Bookman Old Style" w:hAnsi="Bookman Old Style"/>
          <w:sz w:val="28"/>
          <w:szCs w:val="24"/>
        </w:rPr>
      </w:pPr>
      <w:r>
        <w:rPr/>
        <w:t>Figure 13 34 - team delegate led by CAB to represent Bhutan at teh 44th IFAWPCA Convention in Malaysia</w:t>
      </w:r>
    </w:p>
    <w:p>
      <w:pPr>
        <w:pStyle w:val="Normal"/>
        <w:spacing w:lineRule="auto" w:line="240"/>
        <w:jc w:val="both"/>
        <w:rPr>
          <w:sz w:val="24"/>
        </w:rPr>
      </w:pPr>
      <w:r>
        <w:rPr>
          <w:sz w:val="24"/>
        </w:rPr>
        <w:t>The participants have also taken active participation in the technical tours to various construction sectors.</w:t>
      </w:r>
      <w:r>
        <w:rPr>
          <w:rFonts w:cs="Arial" w:ascii="Bookman Old Style" w:hAnsi="Bookman Old Style"/>
          <w:sz w:val="28"/>
          <w:szCs w:val="24"/>
          <w:shd w:fill="FFFFFF" w:val="clear"/>
        </w:rPr>
        <w:t xml:space="preserve"> </w:t>
      </w:r>
      <w:r>
        <w:rPr>
          <w:sz w:val="24"/>
        </w:rPr>
        <w:t>The highlight of the technical tour was to Gamuda; Leveraging on today’s digital design tools and robotic construction that are able to</w:t>
      </w:r>
      <w:r>
        <w:rPr>
          <w:rFonts w:cs="Arial" w:ascii="Bookman Old Style" w:hAnsi="Bookman Old Style"/>
          <w:sz w:val="28"/>
          <w:szCs w:val="24"/>
          <w:shd w:fill="FFFFFF" w:val="clear"/>
        </w:rPr>
        <w:t xml:space="preserve"> </w:t>
      </w:r>
      <w:r>
        <w:rPr>
          <w:sz w:val="24"/>
        </w:rPr>
        <w:t>bring well-thought out designs to life, digital Industrialized Building system (IBS) provides flexibility in design, in addition to ensuring fast construction and superior quality finish. The participants were amazed at the speed of construction with pre-cast materials, for instance, the construction period of 1200 square feet plinth area duplex is 45 days as compared to almost nine months in Bhutan.</w:t>
      </w:r>
    </w:p>
    <w:p>
      <w:pPr>
        <w:pStyle w:val="Normal"/>
        <w:keepNext/>
        <w:spacing w:lineRule="auto" w:line="360"/>
        <w:jc w:val="both"/>
        <w:rPr/>
      </w:pPr>
      <w:r>
        <w:rPr/>
        <w:drawing>
          <wp:anchor behindDoc="0" distT="0" distB="9525" distL="114300" distR="123190" simplePos="0" locked="0" layoutInCell="1" allowOverlap="1" relativeHeight="17">
            <wp:simplePos x="0" y="0"/>
            <wp:positionH relativeFrom="column">
              <wp:posOffset>0</wp:posOffset>
            </wp:positionH>
            <wp:positionV relativeFrom="paragraph">
              <wp:posOffset>1270</wp:posOffset>
            </wp:positionV>
            <wp:extent cx="4600575" cy="2162175"/>
            <wp:effectExtent l="0" t="0" r="0" b="0"/>
            <wp:wrapSquare wrapText="bothSides"/>
            <wp:docPr id="3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
                    <pic:cNvPicPr>
                      <a:picLocks noChangeAspect="1" noChangeArrowheads="1"/>
                    </pic:cNvPicPr>
                  </pic:nvPicPr>
                  <pic:blipFill>
                    <a:blip r:embed="rId24"/>
                    <a:stretch>
                      <a:fillRect/>
                    </a:stretch>
                  </pic:blipFill>
                  <pic:spPr bwMode="auto">
                    <a:xfrm>
                      <a:off x="0" y="0"/>
                      <a:ext cx="4600575" cy="2162175"/>
                    </a:xfrm>
                    <a:prstGeom prst="rect">
                      <a:avLst/>
                    </a:prstGeom>
                  </pic:spPr>
                </pic:pic>
              </a:graphicData>
            </a:graphic>
          </wp:anchor>
        </w:drawing>
      </w:r>
    </w:p>
    <w:p>
      <w:pPr>
        <w:pStyle w:val="Caption1"/>
        <w:jc w:val="both"/>
        <w:rPr/>
      </w:pPr>
      <w:r>
        <w:rPr/>
        <w:t>Figure 14 Participants at the IFAWPCA Convention undertaking safety awareness tour</w:t>
      </w:r>
    </w:p>
    <w:p>
      <w:pPr>
        <w:pStyle w:val="Normal"/>
        <w:spacing w:lineRule="auto" w:line="360"/>
        <w:jc w:val="both"/>
        <w:rPr/>
      </w:pPr>
      <w:r>
        <w:rPr/>
      </w:r>
    </w:p>
    <w:p>
      <w:pPr>
        <w:pStyle w:val="Normal"/>
        <w:rPr>
          <w:b/>
          <w:b/>
          <w:sz w:val="32"/>
          <w:lang w:val="en-US"/>
        </w:rPr>
      </w:pPr>
      <w:r>
        <w:rPr>
          <w:b/>
          <w:sz w:val="32"/>
          <w:lang w:val="en-US"/>
        </w:rPr>
      </w:r>
    </w:p>
    <w:p>
      <w:pPr>
        <w:pStyle w:val="Normal"/>
        <w:rPr>
          <w:b/>
          <w:b/>
          <w:sz w:val="32"/>
          <w:lang w:val="en-US"/>
        </w:rPr>
      </w:pPr>
      <w:r>
        <w:rPr>
          <w:b/>
          <w:sz w:val="32"/>
          <w:lang w:val="en-US"/>
        </w:rPr>
      </w:r>
    </w:p>
    <w:p>
      <w:pPr>
        <w:pStyle w:val="Normal"/>
        <w:rPr>
          <w:b/>
          <w:b/>
          <w:sz w:val="32"/>
          <w:lang w:val="en-US"/>
        </w:rPr>
      </w:pPr>
      <w:r>
        <w:rPr>
          <w:b/>
          <w:sz w:val="32"/>
          <w:lang w:val="en-US"/>
        </w:rPr>
      </w:r>
    </w:p>
    <w:p>
      <w:pPr>
        <w:pStyle w:val="Normal"/>
        <w:rPr>
          <w:b/>
          <w:b/>
          <w:sz w:val="24"/>
          <w:lang w:val="en-US"/>
        </w:rPr>
      </w:pPr>
      <w:r>
        <w:rPr>
          <w:b/>
          <w:sz w:val="32"/>
          <w:lang w:val="en-US"/>
        </w:rPr>
        <w:t>7. Advocacy &amp; Awareness Program</w:t>
      </w:r>
    </w:p>
    <w:p>
      <w:pPr>
        <w:pStyle w:val="Normal"/>
        <w:jc w:val="both"/>
        <w:rPr>
          <w:sz w:val="24"/>
          <w:lang w:val="en-US"/>
        </w:rPr>
      </w:pPr>
      <w:r>
        <w:rPr>
          <w:sz w:val="24"/>
          <w:lang w:val="en-US"/>
        </w:rPr>
        <w:t xml:space="preserve">In our endeavor to keep the contracting community informed on extant policies, rules &amp; regulations, CAB conducts various advocacy and awareness programs. Likewise, for the year 2018, awareness workshops were undertaken across the country to deliberate on various reforms specially pertaining to Procurement rules &amp; regulations and Standard Bidding Documents. Taking opportunity of such gatherings, we also look to impress ideologies on to the participants to become socially responsible and contribute towards nation building, principally through taking ownership and accountability of their works. </w:t>
      </w:r>
    </w:p>
    <w:p>
      <w:pPr>
        <w:pStyle w:val="Normal"/>
        <w:jc w:val="both"/>
        <w:rPr>
          <w:sz w:val="24"/>
          <w:lang w:val="en-US"/>
        </w:rPr>
      </w:pPr>
      <w:r>
        <w:rPr>
          <w:sz w:val="24"/>
          <w:lang w:val="en-US"/>
        </w:rPr>
        <w:t xml:space="preserve">Although such awareness programs are conducted in various dzongkhags to reach out to all the contractors, most contractors abstain from participating in such programs, thereby affecting the efficacy of these programs where much resources have been directed into. Most contractors fail to understand that their participation in such programs while providing them with valuable information/knowledge, also serves to discuss &amp; seek solutions to general problems in the contracting community collectively. Generally, most of the grievances in bidding process have occurred due to lack of sound knowledge in bid process on the part of the contractors and in certain cases, even procuring agencies. Therefore, it is imperative that all parties to the procurement process are well versed in procurement rules/norms in order to mitigate any grievances related to the bidding process that may arise. </w:t>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t>8. Financial Report 2018</w:t>
      </w:r>
    </w:p>
    <w:p>
      <w:pPr>
        <w:pStyle w:val="Normal"/>
        <w:jc w:val="both"/>
        <w:rPr>
          <w:b/>
          <w:b/>
          <w:color w:val="833C0B" w:themeColor="accent2" w:themeShade="80"/>
          <w:sz w:val="24"/>
          <w:lang w:val="en-US"/>
        </w:rPr>
      </w:pPr>
      <w:r>
        <w:rPr>
          <w:b/>
          <w:color w:val="833C0B" w:themeColor="accent2" w:themeShade="80"/>
          <w:sz w:val="24"/>
          <w:lang w:val="en-US"/>
        </w:rPr>
        <w:t>CONSTRUCTION ASSOCIATION OF BHUTAN OPERATIONS BALANCE SHEET</w:t>
      </w:r>
    </w:p>
    <w:p>
      <w:pPr>
        <w:pStyle w:val="Normal"/>
        <w:jc w:val="both"/>
        <w:rPr>
          <w:b/>
          <w:b/>
          <w:color w:val="833C0B" w:themeColor="accent2" w:themeShade="80"/>
          <w:sz w:val="20"/>
          <w:lang w:val="en-US"/>
        </w:rPr>
      </w:pPr>
      <w:r>
        <w:rPr>
          <w:b/>
          <w:color w:val="833C0B" w:themeColor="accent2" w:themeShade="80"/>
          <w:sz w:val="24"/>
          <w:lang w:val="en-US"/>
        </w:rPr>
        <w:t>| Year ended December 31, 2018</w:t>
      </w:r>
    </w:p>
    <w:tbl>
      <w:tblPr>
        <w:tblStyle w:val="PlainTable2"/>
        <w:tblW w:w="9788" w:type="dxa"/>
        <w:jc w:val="left"/>
        <w:tblInd w:w="0" w:type="dxa"/>
        <w:tblCellMar>
          <w:top w:w="0" w:type="dxa"/>
          <w:left w:w="108" w:type="dxa"/>
          <w:bottom w:w="0" w:type="dxa"/>
          <w:right w:w="108" w:type="dxa"/>
        </w:tblCellMar>
        <w:tblLook w:val="04a0" w:noVBand="1" w:noHBand="0" w:lastColumn="0" w:firstColumn="1" w:lastRow="0" w:firstRow="1"/>
      </w:tblPr>
      <w:tblGrid>
        <w:gridCol w:w="7494"/>
        <w:gridCol w:w="2293"/>
      </w:tblGrid>
      <w:tr>
        <w:trPr>
          <w:trHeight w:val="761" w:hRule="atLeast"/>
          <w:cnfStyle w:val="100000000000" w:firstRow="1" w:lastRow="0" w:firstColumn="0" w:lastColumn="0" w:oddVBand="0" w:evenVBand="0" w:oddHBand="0"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shd w:color="auto" w:fill="0070C0" w:val="clear"/>
            <w:vAlign w:val="center"/>
          </w:tcPr>
          <w:p>
            <w:pPr>
              <w:pStyle w:val="Normal"/>
              <w:spacing w:lineRule="auto" w:line="240" w:before="0" w:after="0"/>
              <w:rPr>
                <w:rFonts w:ascii="Calibri" w:hAnsi="Calibri" w:eastAsia="Times New Roman" w:cs="Times New Roman"/>
                <w:color w:val="000000"/>
                <w:sz w:val="28"/>
                <w:lang w:eastAsia="en-IN"/>
              </w:rPr>
            </w:pPr>
            <w:r>
              <w:rPr>
                <w:rFonts w:eastAsia="Times New Roman" w:cs="Times New Roman"/>
                <w:b/>
                <w:bCs/>
                <w:color w:val="FFFFFF" w:themeColor="background1"/>
                <w:sz w:val="28"/>
                <w:lang w:eastAsia="en-IN"/>
              </w:rPr>
              <w:t>ASSETS</w:t>
            </w:r>
          </w:p>
        </w:tc>
        <w:tc>
          <w:tcPr>
            <w:tcW w:w="2293" w:type="dxa"/>
            <w:tcBorders/>
            <w:shd w:color="auto" w:fill="0070C0" w:val="clear"/>
            <w:vAlign w:val="cente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Times New Roman"/>
                <w:color w:val="000000"/>
                <w:sz w:val="28"/>
                <w:lang w:eastAsia="en-IN"/>
              </w:rPr>
            </w:pPr>
            <w:r>
              <w:rPr>
                <w:rFonts w:eastAsia="Times New Roman" w:cs="Times New Roman"/>
                <w:b/>
                <w:bCs/>
                <w:color w:val="FFFFFF" w:themeColor="background1"/>
                <w:sz w:val="28"/>
                <w:lang w:eastAsia="en-IN"/>
              </w:rPr>
              <w:t>2018</w:t>
            </w:r>
          </w:p>
        </w:tc>
      </w:tr>
      <w:tr>
        <w:trPr>
          <w:trHeight w:val="630" w:hRule="atLeast"/>
          <w:cnfStyle w:val="000000100000" w:firstRow="0" w:lastRow="0" w:firstColumn="0" w:lastColumn="0" w:oddVBand="0" w:evenVBand="0" w:oddHBand="1"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bottom w:val="nil"/>
              <w:insideH w:val="nil"/>
            </w:tcBorders>
            <w:shd w:color="auto" w:fill="E7E6E6" w:themeFill="background2" w:val="clear"/>
            <w:vAlign w:val="center"/>
          </w:tcPr>
          <w:p>
            <w:pPr>
              <w:pStyle w:val="Normal"/>
              <w:spacing w:lineRule="auto" w:line="240" w:before="0" w:after="0"/>
              <w:rPr>
                <w:rFonts w:ascii="Calibri" w:hAnsi="Calibri" w:eastAsia="Times New Roman" w:cs="Times New Roman"/>
                <w:color w:val="000000"/>
                <w:sz w:val="24"/>
                <w:szCs w:val="24"/>
                <w:lang w:eastAsia="en-IN"/>
              </w:rPr>
            </w:pPr>
            <w:r>
              <w:rPr>
                <w:rFonts w:eastAsia="Times New Roman" w:cs="Times New Roman"/>
                <w:b/>
                <w:bCs/>
                <w:color w:val="4472C4" w:themeColor="accent1"/>
                <w:sz w:val="28"/>
                <w:szCs w:val="24"/>
                <w:lang w:eastAsia="en-IN"/>
              </w:rPr>
              <w:t>CURRENT ASSETS</w:t>
            </w:r>
          </w:p>
        </w:tc>
        <w:tc>
          <w:tcPr>
            <w:tcW w:w="2293" w:type="dxa"/>
            <w:tcBorders>
              <w:bottom w:val="nil"/>
              <w:insideH w:val="nil"/>
            </w:tcBorders>
            <w:shd w:color="auto" w:fill="E7E6E6" w:themeFill="background2" w:val="clear"/>
            <w:vAlign w:val="cente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000000"/>
                <w:lang w:eastAsia="en-IN"/>
              </w:rPr>
            </w:pPr>
            <w:r>
              <w:rPr>
                <w:rFonts w:eastAsia="Times New Roman" w:cs="Times New Roman"/>
                <w:color w:val="000000"/>
                <w:lang w:eastAsia="en-IN"/>
              </w:rPr>
            </w:r>
          </w:p>
        </w:tc>
      </w:tr>
      <w:tr>
        <w:trPr>
          <w:trHeight w:val="630" w:hRule="atLeast"/>
        </w:trPr>
        <w:tc>
          <w:tcPr>
            <w:tcW w:w="7494"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Cash at Bank (BNBL)</w:t>
            </w:r>
          </w:p>
        </w:tc>
        <w:tc>
          <w:tcPr>
            <w:tcW w:w="2293" w:type="dxa"/>
            <w:tcBorders>
              <w:top w:val="nil"/>
              <w:bottom w:val="nil"/>
              <w:insideH w:val="nil"/>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6,49,430.61</w:t>
            </w:r>
          </w:p>
        </w:tc>
      </w:tr>
      <w:tr>
        <w:trPr>
          <w:trHeight w:val="630" w:hRule="atLeast"/>
          <w:cnfStyle w:val="000000100000" w:firstRow="0" w:lastRow="0" w:firstColumn="0" w:lastColumn="0" w:oddVBand="0" w:evenVBand="0" w:oddHBand="1"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Cash at Bank (BOBL)</w:t>
            </w:r>
          </w:p>
        </w:tc>
        <w:tc>
          <w:tcPr>
            <w:tcW w:w="2293" w:type="dxa"/>
            <w:tcBorders>
              <w:top w:val="nil"/>
              <w:bottom w:val="nil"/>
              <w:insideH w:val="nil"/>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2,79,884.76</w:t>
            </w:r>
          </w:p>
        </w:tc>
      </w:tr>
      <w:tr>
        <w:trPr>
          <w:trHeight w:val="630" w:hRule="atLeast"/>
        </w:trPr>
        <w:tc>
          <w:tcPr>
            <w:tcW w:w="7494"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Cash at Bank (PNB)</w:t>
            </w:r>
          </w:p>
        </w:tc>
        <w:tc>
          <w:tcPr>
            <w:tcW w:w="2293" w:type="dxa"/>
            <w:tcBorders>
              <w:top w:val="nil"/>
              <w:bottom w:val="nil"/>
              <w:insideH w:val="nil"/>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14,000.00</w:t>
            </w:r>
          </w:p>
        </w:tc>
      </w:tr>
      <w:tr>
        <w:trPr>
          <w:trHeight w:val="630" w:hRule="atLeast"/>
          <w:cnfStyle w:val="000000100000" w:firstRow="0" w:lastRow="0" w:firstColumn="0" w:lastColumn="0" w:oddVBand="0" w:evenVBand="0" w:oddHBand="1"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top w:val="nil"/>
              <w:bottom w:val="single" w:sz="4" w:space="0" w:color="2F5496"/>
              <w:insideH w:val="single" w:sz="4" w:space="0" w:color="2F5496"/>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Accounts Receivable &amp; Sundry</w:t>
            </w:r>
          </w:p>
        </w:tc>
        <w:tc>
          <w:tcPr>
            <w:tcW w:w="2293" w:type="dxa"/>
            <w:tcBorders>
              <w:top w:val="nil"/>
              <w:bottom w:val="single" w:sz="4" w:space="0" w:color="2F5496"/>
              <w:insideH w:val="single" w:sz="4" w:space="0" w:color="2F5496"/>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1,27,351.06</w:t>
            </w:r>
          </w:p>
        </w:tc>
      </w:tr>
      <w:tr>
        <w:trPr>
          <w:trHeight w:val="630" w:hRule="atLeast"/>
        </w:trPr>
        <w:tc>
          <w:tcPr>
            <w:tcW w:w="7494" w:type="dxa"/>
            <w:cnfStyle w:val="001000000000" w:firstRow="0" w:lastRow="0" w:firstColumn="1" w:lastColumn="0" w:oddVBand="0" w:evenVBand="0" w:oddHBand="0" w:evenHBand="0" w:firstRowFirstColumn="0" w:firstRowLastColumn="0" w:lastRowFirstColumn="0" w:lastRowLastColumn="0"/>
            <w:tcBorders>
              <w:top w:val="single" w:sz="4" w:space="0" w:color="2F5496"/>
              <w:bottom w:val="nil"/>
              <w:insideH w:val="nil"/>
            </w:tcBorders>
            <w:shd w:fill="auto" w:val="clear"/>
            <w:vAlign w:val="center"/>
          </w:tcPr>
          <w:p>
            <w:pPr>
              <w:pStyle w:val="Normal"/>
              <w:spacing w:lineRule="auto" w:line="240" w:before="0" w:after="0"/>
              <w:rPr>
                <w:rFonts w:ascii="Calibri" w:hAnsi="Calibri" w:eastAsia="Times New Roman" w:cs="Times New Roman"/>
                <w:color w:val="000000"/>
                <w:sz w:val="28"/>
                <w:szCs w:val="24"/>
                <w:lang w:eastAsia="en-IN"/>
              </w:rPr>
            </w:pPr>
            <w:r>
              <w:rPr>
                <w:rFonts w:eastAsia="Times New Roman" w:cs="Times New Roman"/>
                <w:b/>
                <w:bCs/>
                <w:color w:val="4472C4" w:themeColor="accent1"/>
                <w:sz w:val="28"/>
                <w:szCs w:val="24"/>
                <w:lang w:eastAsia="en-IN"/>
              </w:rPr>
              <w:t>TOTAL CURRENT ASSETS</w:t>
            </w:r>
          </w:p>
        </w:tc>
        <w:tc>
          <w:tcPr>
            <w:tcW w:w="2293" w:type="dxa"/>
            <w:tcBorders>
              <w:top w:val="single" w:sz="4" w:space="0" w:color="2F5496"/>
              <w:bottom w:val="nil"/>
              <w:insideH w:val="nil"/>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b/>
                <w:b/>
                <w:bCs/>
                <w:color w:val="000000"/>
                <w:sz w:val="28"/>
                <w:szCs w:val="24"/>
                <w:lang w:eastAsia="en-IN"/>
              </w:rPr>
            </w:pPr>
            <w:r>
              <w:rPr>
                <w:rFonts w:eastAsia="Times New Roman" w:cs="Times New Roman"/>
                <w:b/>
                <w:bCs/>
                <w:color w:val="4472C4" w:themeColor="accent1"/>
                <w:sz w:val="28"/>
                <w:szCs w:val="24"/>
                <w:lang w:eastAsia="en-IN"/>
              </w:rPr>
              <w:t>10,70,666.43</w:t>
            </w:r>
          </w:p>
        </w:tc>
      </w:tr>
      <w:tr>
        <w:trPr>
          <w:trHeight w:val="630" w:hRule="atLeast"/>
          <w:cnfStyle w:val="000000100000" w:firstRow="0" w:lastRow="0" w:firstColumn="0" w:lastColumn="0" w:oddVBand="0" w:evenVBand="0" w:oddHBand="1"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color="auto" w:fill="0070C0" w:val="clear"/>
            <w:vAlign w:val="center"/>
          </w:tcPr>
          <w:p>
            <w:pPr>
              <w:pStyle w:val="Normal"/>
              <w:spacing w:lineRule="auto" w:line="240" w:before="0" w:after="0"/>
              <w:rPr>
                <w:rFonts w:ascii="Calibri" w:hAnsi="Calibri" w:eastAsia="Times New Roman" w:cs="Times New Roman"/>
                <w:color w:val="FFFFFF" w:themeColor="background1"/>
                <w:sz w:val="24"/>
                <w:lang w:eastAsia="en-IN"/>
              </w:rPr>
            </w:pPr>
            <w:r>
              <w:rPr>
                <w:rFonts w:eastAsia="Times New Roman" w:cs="Times New Roman"/>
                <w:b/>
                <w:bCs/>
                <w:color w:val="FFFFFF" w:themeColor="background1"/>
                <w:sz w:val="28"/>
                <w:lang w:eastAsia="en-IN"/>
              </w:rPr>
              <w:t>LIABILITIES &amp; FUND BALANCES</w:t>
            </w:r>
          </w:p>
        </w:tc>
        <w:tc>
          <w:tcPr>
            <w:tcW w:w="2293" w:type="dxa"/>
            <w:tcBorders>
              <w:top w:val="nil"/>
              <w:bottom w:val="nil"/>
              <w:insideH w:val="nil"/>
            </w:tcBorders>
            <w:shd w:color="auto" w:fill="0070C0"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FFFFFF" w:themeColor="background1"/>
                <w:sz w:val="24"/>
                <w:lang w:eastAsia="en-IN"/>
              </w:rPr>
            </w:pPr>
            <w:r>
              <w:rPr>
                <w:rFonts w:eastAsia="Times New Roman" w:cs="Times New Roman"/>
                <w:color w:val="FFFFFF" w:themeColor="background1"/>
                <w:sz w:val="24"/>
                <w:lang w:eastAsia="en-IN"/>
              </w:rPr>
            </w:r>
          </w:p>
        </w:tc>
      </w:tr>
      <w:tr>
        <w:trPr>
          <w:trHeight w:val="630" w:hRule="atLeast"/>
        </w:trPr>
        <w:tc>
          <w:tcPr>
            <w:tcW w:w="7494"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color="auto" w:fill="E7E6E6" w:themeFill="background2" w:val="clear"/>
            <w:vAlign w:val="center"/>
          </w:tcPr>
          <w:p>
            <w:pPr>
              <w:pStyle w:val="Normal"/>
              <w:spacing w:lineRule="auto" w:line="240" w:before="0" w:after="0"/>
              <w:rPr>
                <w:rFonts w:ascii="Calibri" w:hAnsi="Calibri" w:eastAsia="Times New Roman" w:cs="Times New Roman"/>
                <w:color w:val="000000"/>
                <w:sz w:val="24"/>
                <w:szCs w:val="24"/>
                <w:lang w:eastAsia="en-IN"/>
              </w:rPr>
            </w:pPr>
            <w:r>
              <w:rPr>
                <w:rFonts w:eastAsia="Times New Roman" w:cs="Times New Roman"/>
                <w:b/>
                <w:bCs/>
                <w:color w:val="4472C4" w:themeColor="accent1"/>
                <w:sz w:val="28"/>
                <w:szCs w:val="24"/>
                <w:lang w:eastAsia="en-IN"/>
              </w:rPr>
              <w:t>CURRENT LIABILITIES</w:t>
            </w:r>
          </w:p>
        </w:tc>
        <w:tc>
          <w:tcPr>
            <w:tcW w:w="2293" w:type="dxa"/>
            <w:tcBorders>
              <w:top w:val="nil"/>
              <w:bottom w:val="nil"/>
              <w:insideH w:val="nil"/>
            </w:tcBorders>
            <w:shd w:color="auto" w:fill="E7E6E6" w:themeFill="background2"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color w:val="000000"/>
                <w:lang w:eastAsia="en-IN"/>
              </w:rPr>
            </w:pPr>
            <w:r>
              <w:rPr>
                <w:rFonts w:eastAsia="Times New Roman" w:cs="Times New Roman"/>
                <w:color w:val="000000"/>
                <w:lang w:eastAsia="en-IN"/>
              </w:rPr>
            </w:r>
          </w:p>
        </w:tc>
      </w:tr>
      <w:tr>
        <w:trPr>
          <w:trHeight w:val="630" w:hRule="atLeast"/>
          <w:cnfStyle w:val="000000100000" w:firstRow="0" w:lastRow="0" w:firstColumn="0" w:lastColumn="0" w:oddVBand="0" w:evenVBand="0" w:oddHBand="1"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Joint A/C</w:t>
            </w:r>
          </w:p>
        </w:tc>
        <w:tc>
          <w:tcPr>
            <w:tcW w:w="2293" w:type="dxa"/>
            <w:tcBorders>
              <w:top w:val="nil"/>
              <w:bottom w:val="nil"/>
              <w:insideH w:val="nil"/>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1,27,695.00</w:t>
            </w:r>
          </w:p>
        </w:tc>
      </w:tr>
      <w:tr>
        <w:trPr>
          <w:trHeight w:val="630" w:hRule="atLeast"/>
        </w:trPr>
        <w:tc>
          <w:tcPr>
            <w:tcW w:w="7494" w:type="dxa"/>
            <w:cnfStyle w:val="001000000000" w:firstRow="0" w:lastRow="0" w:firstColumn="1" w:lastColumn="0" w:oddVBand="0" w:evenVBand="0" w:oddHBand="0" w:evenHBand="0" w:firstRowFirstColumn="0" w:firstRowLastColumn="0" w:lastRowFirstColumn="0" w:lastRowLastColumn="0"/>
            <w:tcBorders>
              <w:top w:val="nil"/>
              <w:bottom w:val="single" w:sz="4" w:space="0" w:color="2F5496"/>
              <w:insideH w:val="single" w:sz="4" w:space="0" w:color="2F5496"/>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PF Payable A/C</w:t>
            </w:r>
          </w:p>
        </w:tc>
        <w:tc>
          <w:tcPr>
            <w:tcW w:w="2293" w:type="dxa"/>
            <w:tcBorders>
              <w:top w:val="nil"/>
              <w:bottom w:val="single" w:sz="4" w:space="0" w:color="2F5496"/>
              <w:insideH w:val="single" w:sz="4" w:space="0" w:color="2F5496"/>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35,688.00</w:t>
            </w:r>
          </w:p>
        </w:tc>
      </w:tr>
      <w:tr>
        <w:trPr>
          <w:trHeight w:val="630" w:hRule="atLeast"/>
          <w:cnfStyle w:val="000000100000" w:firstRow="0" w:lastRow="0" w:firstColumn="0" w:lastColumn="0" w:oddVBand="0" w:evenVBand="0" w:oddHBand="1"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top w:val="single" w:sz="4" w:space="0" w:color="2F5496"/>
              <w:bottom w:val="nil"/>
              <w:insideH w:val="nil"/>
            </w:tcBorders>
            <w:shd w:fill="auto" w:val="clear"/>
            <w:vAlign w:val="center"/>
          </w:tcPr>
          <w:p>
            <w:pPr>
              <w:pStyle w:val="Normal"/>
              <w:spacing w:lineRule="auto" w:line="240" w:before="0" w:after="0"/>
              <w:rPr>
                <w:rFonts w:ascii="Calibri" w:hAnsi="Calibri" w:eastAsia="Times New Roman" w:cs="Times New Roman"/>
                <w:color w:val="4472C4" w:themeColor="accent1"/>
                <w:sz w:val="28"/>
                <w:szCs w:val="24"/>
                <w:lang w:eastAsia="en-IN"/>
              </w:rPr>
            </w:pPr>
            <w:r>
              <w:rPr>
                <w:rFonts w:eastAsia="Times New Roman" w:cs="Times New Roman"/>
                <w:b/>
                <w:bCs/>
                <w:color w:val="4472C4" w:themeColor="accent1"/>
                <w:sz w:val="28"/>
                <w:szCs w:val="24"/>
                <w:lang w:eastAsia="en-IN"/>
              </w:rPr>
              <w:t>TOTAL CURRENT LIABILITIES</w:t>
            </w:r>
          </w:p>
        </w:tc>
        <w:tc>
          <w:tcPr>
            <w:tcW w:w="2293" w:type="dxa"/>
            <w:tcBorders>
              <w:top w:val="single" w:sz="4" w:space="0" w:color="2F5496"/>
              <w:bottom w:val="nil"/>
              <w:insideH w:val="nil"/>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b/>
                <w:b/>
                <w:bCs/>
                <w:color w:val="000000"/>
                <w:sz w:val="24"/>
                <w:szCs w:val="24"/>
                <w:lang w:eastAsia="en-IN"/>
              </w:rPr>
            </w:pPr>
            <w:r>
              <w:rPr>
                <w:rFonts w:eastAsia="Times New Roman" w:cs="Times New Roman"/>
                <w:b/>
                <w:bCs/>
                <w:color w:val="4472C4" w:themeColor="accent1"/>
                <w:sz w:val="28"/>
                <w:szCs w:val="24"/>
                <w:lang w:eastAsia="en-IN"/>
              </w:rPr>
              <w:t>1,63,383.00</w:t>
            </w:r>
          </w:p>
        </w:tc>
      </w:tr>
      <w:tr>
        <w:trPr>
          <w:trHeight w:val="630" w:hRule="atLeast"/>
        </w:trPr>
        <w:tc>
          <w:tcPr>
            <w:tcW w:w="7494"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color="auto" w:fill="E7E6E6" w:themeFill="background2" w:val="clear"/>
            <w:vAlign w:val="center"/>
          </w:tcPr>
          <w:p>
            <w:pPr>
              <w:pStyle w:val="Normal"/>
              <w:spacing w:lineRule="auto" w:line="240" w:before="0" w:after="0"/>
              <w:rPr>
                <w:rFonts w:ascii="Calibri" w:hAnsi="Calibri" w:eastAsia="Times New Roman" w:cs="Times New Roman"/>
                <w:color w:val="4472C4" w:themeColor="accent1"/>
                <w:sz w:val="28"/>
                <w:szCs w:val="24"/>
                <w:lang w:eastAsia="en-IN"/>
              </w:rPr>
            </w:pPr>
            <w:r>
              <w:rPr>
                <w:rFonts w:eastAsia="Times New Roman" w:cs="Times New Roman"/>
                <w:b/>
                <w:bCs/>
                <w:color w:val="4472C4" w:themeColor="accent1"/>
                <w:sz w:val="28"/>
                <w:szCs w:val="24"/>
                <w:lang w:eastAsia="en-IN"/>
              </w:rPr>
              <w:t>FUND BALANCES</w:t>
            </w:r>
          </w:p>
        </w:tc>
        <w:tc>
          <w:tcPr>
            <w:tcW w:w="2293" w:type="dxa"/>
            <w:tcBorders>
              <w:top w:val="nil"/>
              <w:bottom w:val="nil"/>
              <w:insideH w:val="nil"/>
            </w:tcBorders>
            <w:shd w:color="auto" w:fill="E7E6E6" w:themeFill="background2"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color w:val="000000"/>
                <w:lang w:eastAsia="en-IN"/>
              </w:rPr>
            </w:pPr>
            <w:r>
              <w:rPr>
                <w:rFonts w:eastAsia="Times New Roman" w:cs="Times New Roman"/>
                <w:color w:val="000000"/>
                <w:lang w:eastAsia="en-IN"/>
              </w:rPr>
            </w:r>
          </w:p>
        </w:tc>
      </w:tr>
      <w:tr>
        <w:trPr>
          <w:trHeight w:val="630" w:hRule="atLeast"/>
          <w:cnfStyle w:val="000000100000" w:firstRow="0" w:lastRow="0" w:firstColumn="0" w:lastColumn="0" w:oddVBand="0" w:evenVBand="0" w:oddHBand="1"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top w:val="nil"/>
              <w:bottom w:val="single" w:sz="4" w:space="0" w:color="2F5496"/>
              <w:insideH w:val="single" w:sz="4" w:space="0" w:color="2F5496"/>
            </w:tcBorders>
            <w:shd w:fill="auto" w:val="clear"/>
            <w:vAlign w:val="center"/>
          </w:tcPr>
          <w:p>
            <w:pPr>
              <w:pStyle w:val="Normal"/>
              <w:spacing w:lineRule="auto" w:line="240" w:before="0" w:after="0"/>
              <w:rPr>
                <w:rFonts w:ascii="Calibri" w:hAnsi="Calibri" w:eastAsia="Times New Roman" w:cs="Times New Roman"/>
                <w:b w:val="false"/>
                <w:b w:val="false"/>
                <w:color w:val="000000"/>
                <w:sz w:val="24"/>
                <w:szCs w:val="24"/>
                <w:lang w:eastAsia="en-IN"/>
              </w:rPr>
            </w:pPr>
            <w:r>
              <w:rPr>
                <w:rFonts w:eastAsia="Times New Roman" w:cs="Times New Roman"/>
                <w:b w:val="false"/>
                <w:bCs/>
                <w:color w:val="4472C4" w:themeColor="accent1"/>
                <w:sz w:val="24"/>
                <w:szCs w:val="24"/>
                <w:lang w:eastAsia="en-IN"/>
              </w:rPr>
              <w:t>Unrestricted</w:t>
            </w:r>
          </w:p>
        </w:tc>
        <w:tc>
          <w:tcPr>
            <w:tcW w:w="2293" w:type="dxa"/>
            <w:tcBorders>
              <w:top w:val="nil"/>
              <w:bottom w:val="single" w:sz="4" w:space="0" w:color="2F5496"/>
              <w:insideH w:val="single" w:sz="4" w:space="0" w:color="2F5496"/>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b/>
                <w:b/>
                <w:bCs/>
                <w:color w:val="000000"/>
                <w:lang w:eastAsia="en-IN"/>
              </w:rPr>
            </w:pPr>
            <w:r>
              <w:rPr>
                <w:rFonts w:eastAsia="Times New Roman" w:cs="Times New Roman"/>
                <w:color w:val="4472C4" w:themeColor="accent1"/>
                <w:sz w:val="24"/>
                <w:lang w:eastAsia="en-IN"/>
              </w:rPr>
              <w:t>9,07,283.43</w:t>
            </w:r>
          </w:p>
        </w:tc>
      </w:tr>
      <w:tr>
        <w:trPr>
          <w:trHeight w:val="630" w:hRule="atLeast"/>
        </w:trPr>
        <w:tc>
          <w:tcPr>
            <w:tcW w:w="7494" w:type="dxa"/>
            <w:cnfStyle w:val="001000000000" w:firstRow="0" w:lastRow="0" w:firstColumn="1" w:lastColumn="0" w:oddVBand="0" w:evenVBand="0" w:oddHBand="0" w:evenHBand="0" w:firstRowFirstColumn="0" w:firstRowLastColumn="0" w:lastRowFirstColumn="0" w:lastRowLastColumn="0"/>
            <w:tcBorders>
              <w:top w:val="single" w:sz="4" w:space="0" w:color="2F5496"/>
              <w:bottom w:val="single" w:sz="12" w:space="0" w:color="2F5496"/>
              <w:insideH w:val="single" w:sz="12" w:space="0" w:color="2F5496"/>
            </w:tcBorders>
            <w:shd w:fill="auto" w:val="clear"/>
            <w:vAlign w:val="center"/>
          </w:tcPr>
          <w:p>
            <w:pPr>
              <w:pStyle w:val="Normal"/>
              <w:spacing w:lineRule="auto" w:line="240" w:before="0" w:after="0"/>
              <w:rPr>
                <w:rFonts w:ascii="Calibri" w:hAnsi="Calibri" w:eastAsia="Times New Roman" w:cs="Times New Roman"/>
                <w:color w:val="4472C4" w:themeColor="accent1"/>
                <w:sz w:val="28"/>
                <w:szCs w:val="24"/>
                <w:lang w:eastAsia="en-IN"/>
              </w:rPr>
            </w:pPr>
            <w:r>
              <w:rPr>
                <w:rFonts w:eastAsia="Times New Roman" w:cs="Times New Roman"/>
                <w:b/>
                <w:bCs/>
                <w:color w:val="4472C4" w:themeColor="accent1"/>
                <w:sz w:val="28"/>
                <w:szCs w:val="24"/>
                <w:lang w:eastAsia="en-IN"/>
              </w:rPr>
              <w:t>TOTAL FUND BALANCES</w:t>
            </w:r>
          </w:p>
        </w:tc>
        <w:tc>
          <w:tcPr>
            <w:tcW w:w="2293" w:type="dxa"/>
            <w:tcBorders>
              <w:top w:val="single" w:sz="4" w:space="0" w:color="2F5496"/>
              <w:bottom w:val="single" w:sz="12" w:space="0" w:color="2F5496"/>
              <w:insideH w:val="single" w:sz="12" w:space="0" w:color="2F5496"/>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b/>
                <w:b/>
                <w:bCs/>
                <w:color w:val="4472C4" w:themeColor="accent1"/>
                <w:sz w:val="28"/>
                <w:szCs w:val="24"/>
                <w:lang w:eastAsia="en-IN"/>
              </w:rPr>
            </w:pPr>
            <w:r>
              <w:rPr>
                <w:rFonts w:eastAsia="Times New Roman" w:cs="Times New Roman"/>
                <w:b/>
                <w:bCs/>
                <w:color w:val="4472C4" w:themeColor="accent1"/>
                <w:sz w:val="28"/>
                <w:szCs w:val="24"/>
                <w:lang w:eastAsia="en-IN"/>
              </w:rPr>
              <w:t>9,07,283.43</w:t>
            </w:r>
          </w:p>
        </w:tc>
      </w:tr>
      <w:tr>
        <w:trPr>
          <w:trHeight w:val="630" w:hRule="atLeast"/>
          <w:cnfStyle w:val="000000100000" w:firstRow="0" w:lastRow="0" w:firstColumn="0" w:lastColumn="0" w:oddVBand="0" w:evenVBand="0" w:oddHBand="1" w:evenHBand="0" w:firstRowFirstColumn="0" w:firstRowLastColumn="0" w:lastRowFirstColumn="0" w:lastRowLastColumn="0"/>
        </w:trPr>
        <w:tc>
          <w:tcPr>
            <w:tcW w:w="7494" w:type="dxa"/>
            <w:cnfStyle w:val="001000000000" w:firstRow="0" w:lastRow="0" w:firstColumn="1" w:lastColumn="0" w:oddVBand="0" w:evenVBand="0" w:oddHBand="0" w:evenHBand="0" w:firstRowFirstColumn="0" w:firstRowLastColumn="0" w:lastRowFirstColumn="0" w:lastRowLastColumn="0"/>
            <w:tcBorders>
              <w:top w:val="single" w:sz="12" w:space="0" w:color="2F5496"/>
              <w:bottom w:val="single" w:sz="12" w:space="0" w:color="2F5496"/>
              <w:insideH w:val="single" w:sz="12" w:space="0" w:color="2F5496"/>
            </w:tcBorders>
            <w:shd w:fill="auto" w:val="clear"/>
          </w:tcPr>
          <w:p>
            <w:pPr>
              <w:pStyle w:val="Normal"/>
              <w:spacing w:lineRule="auto" w:line="240" w:before="0" w:after="0"/>
              <w:rPr>
                <w:rFonts w:ascii="Calibri" w:hAnsi="Calibri" w:eastAsia="Times New Roman" w:cs="Times New Roman"/>
                <w:color w:val="4472C4" w:themeColor="accent1"/>
                <w:sz w:val="28"/>
                <w:szCs w:val="24"/>
                <w:lang w:eastAsia="en-IN"/>
              </w:rPr>
            </w:pPr>
            <w:r>
              <w:rPr>
                <w:rFonts w:eastAsia="Times New Roman" w:cs="Times New Roman"/>
                <w:b/>
                <w:bCs/>
                <w:color w:val="4472C4" w:themeColor="accent1"/>
                <w:sz w:val="28"/>
                <w:szCs w:val="24"/>
                <w:lang w:eastAsia="en-IN"/>
              </w:rPr>
              <w:t>TOTAL ASSETS, LIABILITIES &amp; FUND BALANCES</w:t>
            </w:r>
          </w:p>
        </w:tc>
        <w:tc>
          <w:tcPr>
            <w:tcW w:w="2293" w:type="dxa"/>
            <w:tcBorders>
              <w:top w:val="single" w:sz="12" w:space="0" w:color="2F5496"/>
              <w:bottom w:val="single" w:sz="12" w:space="0" w:color="2F5496"/>
              <w:insideH w:val="single" w:sz="12" w:space="0" w:color="2F5496"/>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b/>
                <w:b/>
                <w:bCs/>
                <w:color w:val="4472C4" w:themeColor="accent1"/>
                <w:sz w:val="28"/>
                <w:szCs w:val="24"/>
                <w:lang w:eastAsia="en-IN"/>
              </w:rPr>
            </w:pPr>
            <w:bookmarkStart w:id="0" w:name="_Hlk947055"/>
            <w:bookmarkEnd w:id="0"/>
            <w:r>
              <w:rPr>
                <w:rFonts w:eastAsia="Times New Roman" w:cs="Times New Roman"/>
                <w:b/>
                <w:bCs/>
                <w:color w:val="4472C4" w:themeColor="accent1"/>
                <w:sz w:val="28"/>
                <w:szCs w:val="24"/>
                <w:lang w:eastAsia="en-IN"/>
              </w:rPr>
              <w:t>10,70,666.43</w:t>
            </w:r>
          </w:p>
        </w:tc>
      </w:tr>
    </w:tbl>
    <w:p>
      <w:pPr>
        <w:pStyle w:val="Normal"/>
        <w:jc w:val="both"/>
        <w:rPr>
          <w:b/>
          <w:b/>
          <w:color w:val="833C0B" w:themeColor="accent2" w:themeShade="80"/>
          <w:sz w:val="24"/>
          <w:lang w:val="en-US"/>
        </w:rPr>
      </w:pPr>
      <w:r>
        <w:rPr>
          <w:b/>
          <w:color w:val="833C0B" w:themeColor="accent2" w:themeShade="80"/>
          <w:sz w:val="24"/>
          <w:lang w:val="en-US"/>
        </w:rPr>
      </w:r>
    </w:p>
    <w:p>
      <w:pPr>
        <w:pStyle w:val="Normal"/>
        <w:jc w:val="both"/>
        <w:rPr>
          <w:b/>
          <w:b/>
          <w:color w:val="833C0B" w:themeColor="accent2" w:themeShade="80"/>
          <w:sz w:val="24"/>
          <w:lang w:val="en-US"/>
        </w:rPr>
      </w:pPr>
      <w:r>
        <w:rPr>
          <w:b/>
          <w:color w:val="833C0B" w:themeColor="accent2" w:themeShade="80"/>
          <w:sz w:val="24"/>
          <w:lang w:val="en-US"/>
        </w:rPr>
      </w:r>
    </w:p>
    <w:p>
      <w:pPr>
        <w:pStyle w:val="Normal"/>
        <w:jc w:val="both"/>
        <w:rPr>
          <w:b/>
          <w:b/>
          <w:color w:val="833C0B" w:themeColor="accent2" w:themeShade="80"/>
          <w:sz w:val="24"/>
          <w:lang w:val="en-US"/>
        </w:rPr>
      </w:pPr>
      <w:r>
        <w:rPr>
          <w:b/>
          <w:color w:val="833C0B" w:themeColor="accent2" w:themeShade="80"/>
          <w:sz w:val="24"/>
          <w:lang w:val="en-US"/>
        </w:rPr>
      </w:r>
    </w:p>
    <w:p>
      <w:pPr>
        <w:pStyle w:val="Normal"/>
        <w:jc w:val="both"/>
        <w:rPr>
          <w:b/>
          <w:b/>
          <w:color w:val="833C0B" w:themeColor="accent2" w:themeShade="80"/>
          <w:sz w:val="24"/>
          <w:lang w:val="en-US"/>
        </w:rPr>
      </w:pPr>
      <w:r>
        <w:rPr>
          <w:b/>
          <w:color w:val="833C0B" w:themeColor="accent2" w:themeShade="80"/>
          <w:sz w:val="24"/>
          <w:lang w:val="en-US"/>
        </w:rPr>
      </w:r>
    </w:p>
    <w:p>
      <w:pPr>
        <w:pStyle w:val="Normal"/>
        <w:jc w:val="both"/>
        <w:rPr>
          <w:b/>
          <w:b/>
          <w:color w:val="833C0B" w:themeColor="accent2" w:themeShade="80"/>
          <w:sz w:val="24"/>
          <w:lang w:val="en-US"/>
        </w:rPr>
      </w:pPr>
      <w:r>
        <w:rPr>
          <w:b/>
          <w:color w:val="833C0B" w:themeColor="accent2" w:themeShade="80"/>
          <w:sz w:val="24"/>
          <w:lang w:val="en-US"/>
        </w:rPr>
        <w:t>CONSTRUCTION ASSOCIATION OF BHUTAN OPERATIONS STATEMENT OF INCOME AND EXPENDITURE | Year ended December 31, 2018</w:t>
      </w:r>
    </w:p>
    <w:tbl>
      <w:tblPr>
        <w:tblStyle w:val="PlainTable2"/>
        <w:tblW w:w="9713" w:type="dxa"/>
        <w:jc w:val="left"/>
        <w:tblInd w:w="0" w:type="dxa"/>
        <w:tblCellMar>
          <w:top w:w="0" w:type="dxa"/>
          <w:left w:w="108" w:type="dxa"/>
          <w:bottom w:w="0" w:type="dxa"/>
          <w:right w:w="108" w:type="dxa"/>
        </w:tblCellMar>
        <w:tblLook w:val="04a0" w:noVBand="1" w:noHBand="0" w:lastColumn="0" w:firstColumn="1" w:lastRow="0" w:firstRow="1"/>
      </w:tblPr>
      <w:tblGrid>
        <w:gridCol w:w="7438"/>
        <w:gridCol w:w="2274"/>
      </w:tblGrid>
      <w:tr>
        <w:trPr>
          <w:trHeight w:val="780" w:hRule="atLeast"/>
          <w:cnfStyle w:val="100000000000" w:firstRow="1" w:lastRow="0" w:firstColumn="0" w:lastColumn="0" w:oddVBand="0" w:evenVBand="0" w:oddHBand="0" w:evenHBand="0" w:firstRowFirstColumn="0" w:firstRowLastColumn="0" w:lastRowFirstColumn="0" w:lastRowLastColumn="0"/>
        </w:trPr>
        <w:tc>
          <w:tcPr>
            <w:tcW w:w="7438" w:type="dxa"/>
            <w:cnfStyle w:val="001000000000" w:firstRow="0" w:lastRow="0" w:firstColumn="1" w:lastColumn="0" w:oddVBand="0" w:evenVBand="0" w:oddHBand="0" w:evenHBand="0" w:firstRowFirstColumn="0" w:firstRowLastColumn="0" w:lastRowFirstColumn="0" w:lastRowLastColumn="0"/>
            <w:tcBorders/>
            <w:shd w:color="auto" w:fill="0070C0" w:val="clear"/>
            <w:vAlign w:val="center"/>
          </w:tcPr>
          <w:p>
            <w:pPr>
              <w:pStyle w:val="Normal"/>
              <w:spacing w:lineRule="auto" w:line="240" w:before="0" w:after="0"/>
              <w:rPr>
                <w:rFonts w:ascii="Calibri" w:hAnsi="Calibri" w:eastAsia="Times New Roman" w:cs="Times New Roman"/>
                <w:b/>
                <w:b/>
                <w:bCs/>
                <w:color w:val="000000"/>
                <w:sz w:val="28"/>
                <w:lang w:eastAsia="en-IN"/>
              </w:rPr>
            </w:pPr>
            <w:r>
              <w:rPr>
                <w:rFonts w:eastAsia="Times New Roman" w:cs="Times New Roman"/>
                <w:b/>
                <w:bCs/>
                <w:color w:val="000000"/>
                <w:sz w:val="28"/>
                <w:lang w:eastAsia="en-IN"/>
              </w:rPr>
            </w:r>
          </w:p>
        </w:tc>
        <w:tc>
          <w:tcPr>
            <w:tcW w:w="2274" w:type="dxa"/>
            <w:tcBorders/>
            <w:shd w:color="auto" w:fill="0070C0" w:val="clear"/>
            <w:vAlign w:val="cente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Times New Roman"/>
                <w:color w:val="000000"/>
                <w:sz w:val="28"/>
                <w:lang w:eastAsia="en-IN"/>
              </w:rPr>
            </w:pPr>
            <w:r>
              <w:rPr>
                <w:rFonts w:eastAsia="Times New Roman" w:cs="Times New Roman"/>
                <w:b/>
                <w:bCs/>
                <w:color w:val="FFFFFF" w:themeColor="background1"/>
                <w:sz w:val="28"/>
                <w:lang w:eastAsia="en-IN"/>
              </w:rPr>
              <w:t>2018</w:t>
            </w:r>
          </w:p>
        </w:tc>
      </w:tr>
      <w:tr>
        <w:trPr>
          <w:trHeight w:val="645" w:hRule="atLeast"/>
          <w:cnfStyle w:val="000000100000" w:firstRow="0" w:lastRow="0" w:firstColumn="0" w:lastColumn="0" w:oddVBand="0" w:evenVBand="0" w:oddHBand="1" w:evenHBand="0" w:firstRowFirstColumn="0" w:firstRowLastColumn="0" w:lastRowFirstColumn="0" w:lastRowLastColumn="0"/>
        </w:trPr>
        <w:tc>
          <w:tcPr>
            <w:tcW w:w="7438" w:type="dxa"/>
            <w:cnfStyle w:val="001000000000" w:firstRow="0" w:lastRow="0" w:firstColumn="1" w:lastColumn="0" w:oddVBand="0" w:evenVBand="0" w:oddHBand="0" w:evenHBand="0" w:firstRowFirstColumn="0" w:firstRowLastColumn="0" w:lastRowFirstColumn="0" w:lastRowLastColumn="0"/>
            <w:tcBorders>
              <w:bottom w:val="nil"/>
              <w:insideH w:val="nil"/>
            </w:tcBorders>
            <w:shd w:color="auto" w:fill="E7E6E6" w:themeFill="background2" w:val="clear"/>
            <w:vAlign w:val="center"/>
          </w:tcPr>
          <w:p>
            <w:pPr>
              <w:pStyle w:val="Normal"/>
              <w:spacing w:lineRule="auto" w:line="240" w:before="0" w:after="0"/>
              <w:rPr>
                <w:rFonts w:ascii="Calibri" w:hAnsi="Calibri" w:eastAsia="Times New Roman" w:cs="Times New Roman"/>
                <w:color w:val="000000"/>
                <w:sz w:val="24"/>
                <w:szCs w:val="24"/>
                <w:lang w:eastAsia="en-IN"/>
              </w:rPr>
            </w:pPr>
            <w:r>
              <w:rPr>
                <w:rFonts w:eastAsia="Times New Roman" w:cs="Times New Roman"/>
                <w:b/>
                <w:bCs/>
                <w:color w:val="4472C4" w:themeColor="accent1"/>
                <w:sz w:val="28"/>
                <w:szCs w:val="24"/>
                <w:lang w:eastAsia="en-IN"/>
              </w:rPr>
              <w:t>REVENUE</w:t>
            </w:r>
          </w:p>
        </w:tc>
        <w:tc>
          <w:tcPr>
            <w:tcW w:w="2274" w:type="dxa"/>
            <w:tcBorders>
              <w:bottom w:val="nil"/>
              <w:insideH w:val="nil"/>
            </w:tcBorders>
            <w:shd w:color="auto" w:fill="E7E6E6" w:themeFill="background2" w:val="clear"/>
            <w:vAlign w:val="cente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000000"/>
                <w:lang w:eastAsia="en-IN"/>
              </w:rPr>
            </w:pPr>
            <w:r>
              <w:rPr>
                <w:rFonts w:eastAsia="Times New Roman" w:cs="Times New Roman"/>
                <w:color w:val="000000"/>
                <w:lang w:eastAsia="en-IN"/>
              </w:rPr>
            </w:r>
          </w:p>
        </w:tc>
      </w:tr>
      <w:tr>
        <w:trPr>
          <w:trHeight w:val="645" w:hRule="atLeast"/>
        </w:trPr>
        <w:tc>
          <w:tcPr>
            <w:tcW w:w="7438"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Membership Fees, Levies &amp; Interests</w:t>
            </w:r>
          </w:p>
        </w:tc>
        <w:tc>
          <w:tcPr>
            <w:tcW w:w="2274" w:type="dxa"/>
            <w:tcBorders>
              <w:top w:val="nil"/>
              <w:bottom w:val="nil"/>
              <w:insideH w:val="nil"/>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36,44,474.37</w:t>
            </w:r>
          </w:p>
        </w:tc>
      </w:tr>
      <w:tr>
        <w:trPr>
          <w:trHeight w:val="645" w:hRule="atLeast"/>
          <w:cnfStyle w:val="000000100000" w:firstRow="0" w:lastRow="0" w:firstColumn="0" w:lastColumn="0" w:oddVBand="0" w:evenVBand="0" w:oddHBand="1" w:evenHBand="0" w:firstRowFirstColumn="0" w:firstRowLastColumn="0" w:lastRowFirstColumn="0" w:lastRowLastColumn="0"/>
        </w:trPr>
        <w:tc>
          <w:tcPr>
            <w:tcW w:w="7438"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Events</w:t>
            </w:r>
          </w:p>
        </w:tc>
        <w:tc>
          <w:tcPr>
            <w:tcW w:w="2274" w:type="dxa"/>
            <w:tcBorders>
              <w:top w:val="nil"/>
              <w:bottom w:val="nil"/>
              <w:insideH w:val="nil"/>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18,55,401.00</w:t>
            </w:r>
          </w:p>
        </w:tc>
      </w:tr>
      <w:tr>
        <w:trPr>
          <w:trHeight w:val="645" w:hRule="atLeast"/>
        </w:trPr>
        <w:tc>
          <w:tcPr>
            <w:tcW w:w="7438" w:type="dxa"/>
            <w:cnfStyle w:val="001000000000" w:firstRow="0" w:lastRow="0" w:firstColumn="1" w:lastColumn="0" w:oddVBand="0" w:evenVBand="0" w:oddHBand="0" w:evenHBand="0" w:firstRowFirstColumn="0" w:firstRowLastColumn="0" w:lastRowFirstColumn="0" w:lastRowLastColumn="0"/>
            <w:tcBorders>
              <w:top w:val="single" w:sz="4" w:space="0" w:color="2F5496"/>
              <w:bottom w:val="nil"/>
              <w:insideH w:val="nil"/>
            </w:tcBorders>
            <w:shd w:fill="auto" w:val="clear"/>
            <w:vAlign w:val="center"/>
          </w:tcPr>
          <w:p>
            <w:pPr>
              <w:pStyle w:val="Normal"/>
              <w:spacing w:lineRule="auto" w:line="240" w:before="0" w:after="0"/>
              <w:rPr>
                <w:rFonts w:ascii="Calibri" w:hAnsi="Calibri" w:eastAsia="Times New Roman" w:cs="Times New Roman"/>
                <w:b/>
                <w:b/>
                <w:bCs/>
                <w:color w:val="000000"/>
                <w:sz w:val="28"/>
                <w:szCs w:val="24"/>
                <w:lang w:eastAsia="en-IN"/>
              </w:rPr>
            </w:pPr>
            <w:r>
              <w:rPr>
                <w:rFonts w:eastAsia="Times New Roman" w:cs="Times New Roman"/>
                <w:b/>
                <w:bCs/>
                <w:color w:val="000000"/>
                <w:sz w:val="28"/>
                <w:szCs w:val="24"/>
                <w:lang w:eastAsia="en-IN"/>
              </w:rPr>
            </w:r>
          </w:p>
        </w:tc>
        <w:tc>
          <w:tcPr>
            <w:tcW w:w="2274" w:type="dxa"/>
            <w:tcBorders>
              <w:top w:val="single" w:sz="4" w:space="0" w:color="2F5496"/>
              <w:bottom w:val="nil"/>
              <w:insideH w:val="nil"/>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b/>
                <w:b/>
                <w:bCs/>
                <w:color w:val="000000"/>
                <w:sz w:val="28"/>
                <w:szCs w:val="24"/>
                <w:lang w:eastAsia="en-IN"/>
              </w:rPr>
            </w:pPr>
            <w:r>
              <w:rPr>
                <w:rFonts w:eastAsia="Times New Roman" w:cs="Times New Roman"/>
                <w:b/>
                <w:bCs/>
                <w:color w:val="4472C4" w:themeColor="accent1"/>
                <w:sz w:val="28"/>
                <w:szCs w:val="24"/>
                <w:lang w:eastAsia="en-IN"/>
              </w:rPr>
              <w:t>54,99,875.37</w:t>
            </w:r>
          </w:p>
        </w:tc>
      </w:tr>
      <w:tr>
        <w:trPr>
          <w:trHeight w:val="645" w:hRule="atLeast"/>
          <w:cnfStyle w:val="000000100000" w:firstRow="0" w:lastRow="0" w:firstColumn="0" w:lastColumn="0" w:oddVBand="0" w:evenVBand="0" w:oddHBand="1" w:evenHBand="0" w:firstRowFirstColumn="0" w:firstRowLastColumn="0" w:lastRowFirstColumn="0" w:lastRowLastColumn="0"/>
        </w:trPr>
        <w:tc>
          <w:tcPr>
            <w:tcW w:w="7438"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color="auto" w:fill="E7E6E6" w:themeFill="background2" w:val="clear"/>
            <w:vAlign w:val="center"/>
          </w:tcPr>
          <w:p>
            <w:pPr>
              <w:pStyle w:val="Normal"/>
              <w:spacing w:lineRule="auto" w:line="240" w:before="0" w:after="0"/>
              <w:rPr>
                <w:rFonts w:ascii="Calibri" w:hAnsi="Calibri" w:eastAsia="Times New Roman" w:cs="Times New Roman"/>
                <w:color w:val="000000"/>
                <w:sz w:val="24"/>
                <w:szCs w:val="24"/>
                <w:lang w:eastAsia="en-IN"/>
              </w:rPr>
            </w:pPr>
            <w:r>
              <w:rPr>
                <w:rFonts w:eastAsia="Times New Roman" w:cs="Times New Roman"/>
                <w:b/>
                <w:bCs/>
                <w:color w:val="4472C4" w:themeColor="accent1"/>
                <w:sz w:val="28"/>
                <w:szCs w:val="24"/>
                <w:lang w:eastAsia="en-IN"/>
              </w:rPr>
              <w:t>EXPENDITURE</w:t>
            </w:r>
          </w:p>
        </w:tc>
        <w:tc>
          <w:tcPr>
            <w:tcW w:w="2274" w:type="dxa"/>
            <w:tcBorders>
              <w:top w:val="nil"/>
              <w:bottom w:val="nil"/>
              <w:insideH w:val="nil"/>
            </w:tcBorders>
            <w:shd w:color="auto" w:fill="E7E6E6" w:themeFill="background2"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000000"/>
                <w:lang w:eastAsia="en-IN"/>
              </w:rPr>
            </w:pPr>
            <w:r>
              <w:rPr>
                <w:rFonts w:eastAsia="Times New Roman" w:cs="Times New Roman"/>
                <w:color w:val="000000"/>
                <w:lang w:eastAsia="en-IN"/>
              </w:rPr>
            </w:r>
          </w:p>
        </w:tc>
      </w:tr>
      <w:tr>
        <w:trPr>
          <w:trHeight w:val="645" w:hRule="atLeast"/>
        </w:trPr>
        <w:tc>
          <w:tcPr>
            <w:tcW w:w="7438"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General &amp; Administrative</w:t>
            </w:r>
          </w:p>
        </w:tc>
        <w:tc>
          <w:tcPr>
            <w:tcW w:w="2274" w:type="dxa"/>
            <w:tcBorders>
              <w:top w:val="nil"/>
              <w:bottom w:val="nil"/>
              <w:insideH w:val="nil"/>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44,28,994.00</w:t>
            </w:r>
          </w:p>
        </w:tc>
      </w:tr>
      <w:tr>
        <w:trPr>
          <w:trHeight w:val="645" w:hRule="atLeast"/>
          <w:cnfStyle w:val="000000100000" w:firstRow="0" w:lastRow="0" w:firstColumn="0" w:lastColumn="0" w:oddVBand="0" w:evenVBand="0" w:oddHBand="1" w:evenHBand="0" w:firstRowFirstColumn="0" w:firstRowLastColumn="0" w:lastRowFirstColumn="0" w:lastRowLastColumn="0"/>
        </w:trPr>
        <w:tc>
          <w:tcPr>
            <w:tcW w:w="7438"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Meeting, Workshops, Networking</w:t>
            </w:r>
          </w:p>
        </w:tc>
        <w:tc>
          <w:tcPr>
            <w:tcW w:w="2274" w:type="dxa"/>
            <w:tcBorders>
              <w:top w:val="nil"/>
              <w:bottom w:val="nil"/>
              <w:insideH w:val="nil"/>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3,06,590.00</w:t>
            </w:r>
          </w:p>
        </w:tc>
      </w:tr>
      <w:tr>
        <w:trPr>
          <w:trHeight w:val="645" w:hRule="atLeast"/>
        </w:trPr>
        <w:tc>
          <w:tcPr>
            <w:tcW w:w="7438"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Bank Interest &amp; Charges</w:t>
            </w:r>
          </w:p>
        </w:tc>
        <w:tc>
          <w:tcPr>
            <w:tcW w:w="2274" w:type="dxa"/>
            <w:tcBorders>
              <w:top w:val="nil"/>
              <w:bottom w:val="nil"/>
              <w:insideH w:val="nil"/>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39,380.61</w:t>
            </w:r>
          </w:p>
        </w:tc>
      </w:tr>
      <w:tr>
        <w:trPr>
          <w:trHeight w:val="645" w:hRule="atLeast"/>
          <w:cnfStyle w:val="000000100000" w:firstRow="0" w:lastRow="0" w:firstColumn="0" w:lastColumn="0" w:oddVBand="0" w:evenVBand="0" w:oddHBand="1" w:evenHBand="0" w:firstRowFirstColumn="0" w:firstRowLastColumn="0" w:lastRowFirstColumn="0" w:lastRowLastColumn="0"/>
        </w:trPr>
        <w:tc>
          <w:tcPr>
            <w:tcW w:w="7438" w:type="dxa"/>
            <w:cnfStyle w:val="001000000000" w:firstRow="0" w:lastRow="0" w:firstColumn="1" w:lastColumn="0" w:oddVBand="0" w:evenVBand="0" w:oddHBand="0" w:evenHBand="0" w:firstRowFirstColumn="0" w:firstRowLastColumn="0" w:lastRowFirstColumn="0" w:lastRowLastColumn="0"/>
            <w:tcBorders>
              <w:top w:val="nil"/>
              <w:bottom w:val="nil"/>
              <w:insideH w:val="nil"/>
            </w:tcBorders>
            <w:shd w:fill="auto" w:val="clear"/>
            <w:vAlign w:val="center"/>
          </w:tcPr>
          <w:p>
            <w:pPr>
              <w:pStyle w:val="Normal"/>
              <w:spacing w:lineRule="auto" w:line="240" w:before="0" w:after="0"/>
              <w:rPr>
                <w:rFonts w:ascii="Calibri" w:hAnsi="Calibri" w:eastAsia="Times New Roman" w:cs="Times New Roman"/>
                <w:b w:val="false"/>
                <w:b w:val="false"/>
                <w:color w:val="4472C4" w:themeColor="accent1"/>
                <w:sz w:val="24"/>
                <w:lang w:eastAsia="en-IN"/>
              </w:rPr>
            </w:pPr>
            <w:r>
              <w:rPr>
                <w:rFonts w:eastAsia="Times New Roman" w:cs="Times New Roman"/>
                <w:b w:val="false"/>
                <w:bCs/>
                <w:color w:val="4472C4" w:themeColor="accent1"/>
                <w:sz w:val="24"/>
                <w:lang w:eastAsia="en-IN"/>
              </w:rPr>
              <w:t>Publication Charges</w:t>
            </w:r>
          </w:p>
        </w:tc>
        <w:tc>
          <w:tcPr>
            <w:tcW w:w="2274" w:type="dxa"/>
            <w:tcBorders>
              <w:top w:val="nil"/>
              <w:bottom w:val="nil"/>
              <w:insideH w:val="nil"/>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color w:val="4472C4" w:themeColor="accent1"/>
                <w:sz w:val="24"/>
                <w:lang w:eastAsia="en-IN"/>
              </w:rPr>
            </w:pPr>
            <w:r>
              <w:rPr>
                <w:rFonts w:eastAsia="Times New Roman" w:cs="Times New Roman"/>
                <w:color w:val="4472C4" w:themeColor="accent1"/>
                <w:sz w:val="24"/>
                <w:lang w:eastAsia="en-IN"/>
              </w:rPr>
              <w:t>10,000</w:t>
            </w:r>
          </w:p>
        </w:tc>
      </w:tr>
      <w:tr>
        <w:trPr>
          <w:trHeight w:val="645" w:hRule="atLeast"/>
        </w:trPr>
        <w:tc>
          <w:tcPr>
            <w:tcW w:w="7438" w:type="dxa"/>
            <w:cnfStyle w:val="001000000000" w:firstRow="0" w:lastRow="0" w:firstColumn="1" w:lastColumn="0" w:oddVBand="0" w:evenVBand="0" w:oddHBand="0" w:evenHBand="0" w:firstRowFirstColumn="0" w:firstRowLastColumn="0" w:lastRowFirstColumn="0" w:lastRowLastColumn="0"/>
            <w:tcBorders>
              <w:top w:val="single" w:sz="4" w:space="0" w:color="2F5496"/>
              <w:bottom w:val="single" w:sz="18" w:space="0" w:color="2F5496"/>
              <w:insideH w:val="single" w:sz="18" w:space="0" w:color="2F5496"/>
            </w:tcBorders>
            <w:shd w:fill="auto" w:val="clear"/>
            <w:vAlign w:val="center"/>
          </w:tcPr>
          <w:p>
            <w:pPr>
              <w:pStyle w:val="Normal"/>
              <w:spacing w:lineRule="auto" w:line="240" w:before="0" w:after="0"/>
              <w:rPr>
                <w:rFonts w:ascii="Calibri" w:hAnsi="Calibri" w:eastAsia="Times New Roman" w:cs="Times New Roman"/>
                <w:b/>
                <w:b/>
                <w:bCs/>
                <w:color w:val="4472C4" w:themeColor="accent1"/>
                <w:sz w:val="28"/>
                <w:szCs w:val="24"/>
                <w:lang w:eastAsia="en-IN"/>
              </w:rPr>
            </w:pPr>
            <w:r>
              <w:rPr>
                <w:rFonts w:eastAsia="Times New Roman" w:cs="Times New Roman"/>
                <w:b/>
                <w:bCs/>
                <w:color w:val="4472C4" w:themeColor="accent1"/>
                <w:sz w:val="28"/>
                <w:szCs w:val="24"/>
                <w:lang w:eastAsia="en-IN"/>
              </w:rPr>
            </w:r>
          </w:p>
        </w:tc>
        <w:tc>
          <w:tcPr>
            <w:tcW w:w="2274" w:type="dxa"/>
            <w:tcBorders>
              <w:top w:val="single" w:sz="4" w:space="0" w:color="2F5496"/>
              <w:bottom w:val="single" w:sz="18" w:space="0" w:color="2F5496"/>
              <w:insideH w:val="single" w:sz="18" w:space="0" w:color="2F5496"/>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b/>
                <w:b/>
                <w:bCs/>
                <w:color w:val="000000"/>
                <w:sz w:val="24"/>
                <w:szCs w:val="24"/>
                <w:lang w:eastAsia="en-IN"/>
              </w:rPr>
            </w:pPr>
            <w:r>
              <w:rPr>
                <w:rFonts w:eastAsia="Times New Roman" w:cs="Times New Roman"/>
                <w:b/>
                <w:bCs/>
                <w:color w:val="4472C4" w:themeColor="accent1"/>
                <w:sz w:val="28"/>
                <w:szCs w:val="24"/>
                <w:lang w:eastAsia="en-IN"/>
              </w:rPr>
              <w:t>47,84,964.61</w:t>
            </w:r>
          </w:p>
        </w:tc>
      </w:tr>
      <w:tr>
        <w:trPr>
          <w:trHeight w:val="645" w:hRule="atLeast"/>
          <w:cnfStyle w:val="000000100000" w:firstRow="0" w:lastRow="0" w:firstColumn="0" w:lastColumn="0" w:oddVBand="0" w:evenVBand="0" w:oddHBand="1" w:evenHBand="0" w:firstRowFirstColumn="0" w:firstRowLastColumn="0" w:lastRowFirstColumn="0" w:lastRowLastColumn="0"/>
        </w:trPr>
        <w:tc>
          <w:tcPr>
            <w:tcW w:w="7438" w:type="dxa"/>
            <w:cnfStyle w:val="001000000000" w:firstRow="0" w:lastRow="0" w:firstColumn="1" w:lastColumn="0" w:oddVBand="0" w:evenVBand="0" w:oddHBand="0" w:evenHBand="0" w:firstRowFirstColumn="0" w:firstRowLastColumn="0" w:lastRowFirstColumn="0" w:lastRowLastColumn="0"/>
            <w:tcBorders>
              <w:top w:val="single" w:sz="18" w:space="0" w:color="2F5496"/>
              <w:bottom w:val="nil"/>
              <w:insideH w:val="nil"/>
            </w:tcBorders>
            <w:shd w:fill="auto" w:val="clear"/>
            <w:vAlign w:val="center"/>
          </w:tcPr>
          <w:p>
            <w:pPr>
              <w:pStyle w:val="Normal"/>
              <w:spacing w:lineRule="auto" w:line="240" w:before="0" w:after="0"/>
              <w:rPr>
                <w:rFonts w:ascii="Calibri" w:hAnsi="Calibri" w:eastAsia="Times New Roman" w:cs="Times New Roman"/>
                <w:color w:val="4472C4" w:themeColor="accent1"/>
                <w:sz w:val="28"/>
                <w:szCs w:val="24"/>
                <w:lang w:eastAsia="en-IN"/>
              </w:rPr>
            </w:pPr>
            <w:r>
              <w:rPr>
                <w:rFonts w:eastAsia="Times New Roman" w:cs="Times New Roman"/>
                <w:b/>
                <w:bCs/>
                <w:color w:val="4472C4" w:themeColor="accent1"/>
                <w:sz w:val="28"/>
                <w:szCs w:val="24"/>
                <w:lang w:eastAsia="en-IN"/>
              </w:rPr>
              <w:t>EXCESS OF INCOME OVER EXPENSES</w:t>
            </w:r>
          </w:p>
        </w:tc>
        <w:tc>
          <w:tcPr>
            <w:tcW w:w="2274" w:type="dxa"/>
            <w:tcBorders>
              <w:top w:val="single" w:sz="18" w:space="0" w:color="2F5496"/>
              <w:bottom w:val="nil"/>
              <w:insideH w:val="nil"/>
            </w:tcBorders>
            <w:shd w:fill="auto"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b/>
                <w:b/>
                <w:bCs/>
                <w:color w:val="4472C4" w:themeColor="accent1"/>
                <w:sz w:val="28"/>
                <w:szCs w:val="24"/>
                <w:lang w:eastAsia="en-IN"/>
              </w:rPr>
            </w:pPr>
            <w:r>
              <w:rPr>
                <w:rFonts w:eastAsia="Times New Roman" w:cs="Times New Roman"/>
                <w:b/>
                <w:bCs/>
                <w:color w:val="4472C4" w:themeColor="accent1"/>
                <w:sz w:val="28"/>
                <w:szCs w:val="24"/>
                <w:lang w:eastAsia="en-IN"/>
              </w:rPr>
              <w:t>7,14,910.76</w:t>
            </w:r>
          </w:p>
        </w:tc>
      </w:tr>
      <w:tr>
        <w:trPr>
          <w:trHeight w:val="645" w:hRule="atLeast"/>
        </w:trPr>
        <w:tc>
          <w:tcPr>
            <w:tcW w:w="7438" w:type="dxa"/>
            <w:cnfStyle w:val="001000000000" w:firstRow="0" w:lastRow="0" w:firstColumn="1" w:lastColumn="0" w:oddVBand="0" w:evenVBand="0" w:oddHBand="0" w:evenHBand="0" w:firstRowFirstColumn="0" w:firstRowLastColumn="0" w:lastRowFirstColumn="0" w:lastRowLastColumn="0"/>
            <w:tcBorders>
              <w:top w:val="nil"/>
              <w:bottom w:val="single" w:sz="18" w:space="0" w:color="2F5496"/>
              <w:insideH w:val="single" w:sz="18" w:space="0" w:color="2F5496"/>
            </w:tcBorders>
            <w:shd w:fill="auto" w:val="clear"/>
          </w:tcPr>
          <w:p>
            <w:pPr>
              <w:pStyle w:val="Normal"/>
              <w:spacing w:lineRule="auto" w:line="240" w:before="0" w:after="0"/>
              <w:rPr>
                <w:rFonts w:ascii="Calibri" w:hAnsi="Calibri" w:eastAsia="Times New Roman" w:cs="Times New Roman"/>
                <w:color w:val="4472C4" w:themeColor="accent1"/>
                <w:sz w:val="28"/>
                <w:szCs w:val="24"/>
                <w:lang w:eastAsia="en-IN"/>
              </w:rPr>
            </w:pPr>
            <w:r>
              <w:rPr>
                <w:rFonts w:eastAsia="Times New Roman" w:cs="Times New Roman"/>
                <w:b/>
                <w:bCs/>
                <w:color w:val="4472C4" w:themeColor="accent1"/>
                <w:sz w:val="28"/>
                <w:szCs w:val="24"/>
                <w:lang w:eastAsia="en-IN"/>
              </w:rPr>
              <w:t>FUND BALANCES, Beginning of Year</w:t>
            </w:r>
          </w:p>
        </w:tc>
        <w:tc>
          <w:tcPr>
            <w:tcW w:w="2274" w:type="dxa"/>
            <w:tcBorders>
              <w:top w:val="nil"/>
              <w:bottom w:val="single" w:sz="18" w:space="0" w:color="2F5496"/>
              <w:insideH w:val="single" w:sz="18" w:space="0" w:color="2F5496"/>
            </w:tcBorders>
            <w:shd w:fill="auto" w:val="clear"/>
            <w:vAlign w:val="center"/>
          </w:tcPr>
          <w:p>
            <w:pPr>
              <w:pStyle w:val="Normal"/>
              <w:spacing w:lineRule="auto" w:line="240" w:before="0" w:after="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Times New Roman"/>
                <w:b/>
                <w:b/>
                <w:bCs/>
                <w:color w:val="4472C4" w:themeColor="accent1"/>
                <w:sz w:val="28"/>
                <w:szCs w:val="24"/>
                <w:lang w:eastAsia="en-IN"/>
              </w:rPr>
            </w:pPr>
            <w:r>
              <w:rPr>
                <w:rFonts w:eastAsia="Times New Roman" w:cs="Times New Roman"/>
                <w:b/>
                <w:bCs/>
                <w:color w:val="4472C4" w:themeColor="accent1"/>
                <w:sz w:val="28"/>
                <w:szCs w:val="24"/>
                <w:lang w:eastAsia="en-IN"/>
              </w:rPr>
              <w:t>0.00</w:t>
            </w:r>
          </w:p>
        </w:tc>
      </w:tr>
      <w:tr>
        <w:trPr>
          <w:trHeight w:val="645" w:hRule="atLeast"/>
          <w:cnfStyle w:val="000000100000" w:firstRow="0" w:lastRow="0" w:firstColumn="0" w:lastColumn="0" w:oddVBand="0" w:evenVBand="0" w:oddHBand="1" w:evenHBand="0" w:firstRowFirstColumn="0" w:firstRowLastColumn="0" w:lastRowFirstColumn="0" w:lastRowLastColumn="0"/>
        </w:trPr>
        <w:tc>
          <w:tcPr>
            <w:tcW w:w="7438" w:type="dxa"/>
            <w:cnfStyle w:val="001000000000" w:firstRow="0" w:lastRow="0" w:firstColumn="1" w:lastColumn="0" w:oddVBand="0" w:evenVBand="0" w:oddHBand="0" w:evenHBand="0" w:firstRowFirstColumn="0" w:firstRowLastColumn="0" w:lastRowFirstColumn="0" w:lastRowLastColumn="0"/>
            <w:tcBorders>
              <w:top w:val="single" w:sz="18" w:space="0" w:color="2F5496"/>
              <w:bottom w:val="single" w:sz="18" w:space="0" w:color="2F5496"/>
              <w:insideH w:val="single" w:sz="18" w:space="0" w:color="2F5496"/>
            </w:tcBorders>
            <w:shd w:color="auto" w:fill="BDD6EE" w:themeFill="accent5" w:themeFillTint="66" w:val="clear"/>
          </w:tcPr>
          <w:p>
            <w:pPr>
              <w:pStyle w:val="Normal"/>
              <w:spacing w:lineRule="auto" w:line="240" w:before="0" w:after="0"/>
              <w:rPr>
                <w:rFonts w:ascii="Calibri" w:hAnsi="Calibri" w:eastAsia="Times New Roman" w:cs="Times New Roman"/>
                <w:color w:val="4472C4" w:themeColor="accent1"/>
                <w:sz w:val="28"/>
                <w:szCs w:val="24"/>
                <w:lang w:eastAsia="en-IN"/>
              </w:rPr>
            </w:pPr>
            <w:r>
              <w:rPr>
                <w:rFonts w:eastAsia="Times New Roman" w:cs="Times New Roman"/>
                <w:b/>
                <w:bCs/>
                <w:color w:val="FFFFFF" w:themeColor="background1"/>
                <w:sz w:val="28"/>
                <w:szCs w:val="24"/>
                <w:lang w:eastAsia="en-IN"/>
              </w:rPr>
              <w:t>FUND BALANCES, End of Year</w:t>
            </w:r>
          </w:p>
        </w:tc>
        <w:tc>
          <w:tcPr>
            <w:tcW w:w="2274" w:type="dxa"/>
            <w:tcBorders>
              <w:top w:val="single" w:sz="18" w:space="0" w:color="2F5496"/>
              <w:bottom w:val="single" w:sz="18" w:space="0" w:color="2F5496"/>
              <w:insideH w:val="single" w:sz="18" w:space="0" w:color="2F5496"/>
            </w:tcBorders>
            <w:shd w:color="auto" w:fill="BDD6EE" w:themeFill="accent5" w:themeFillTint="66" w:val="clear"/>
            <w:vAlign w:val="center"/>
          </w:tcPr>
          <w:p>
            <w:pPr>
              <w:pStyle w:val="Normal"/>
              <w:spacing w:lineRule="auto" w:line="240" w:before="0" w:after="0"/>
              <w:jc w:val="right"/>
              <w:cnfStyle w:val="000000100000" w:firstRow="0" w:lastRow="0" w:firstColumn="0" w:lastColumn="0" w:oddVBand="0" w:evenVBand="0" w:oddHBand="1" w:evenHBand="0" w:firstRowFirstColumn="0" w:firstRowLastColumn="0" w:lastRowFirstColumn="0" w:lastRowLastColumn="0"/>
              <w:rPr>
                <w:rFonts w:ascii="Calibri" w:hAnsi="Calibri" w:eastAsia="Times New Roman" w:cs="Times New Roman"/>
                <w:b/>
                <w:b/>
                <w:bCs/>
                <w:color w:val="4472C4" w:themeColor="accent1"/>
                <w:sz w:val="28"/>
                <w:szCs w:val="24"/>
                <w:lang w:eastAsia="en-IN"/>
              </w:rPr>
            </w:pPr>
            <w:r>
              <w:rPr>
                <w:rFonts w:eastAsia="Times New Roman" w:cs="Times New Roman"/>
                <w:b/>
                <w:bCs/>
                <w:color w:val="4472C4" w:themeColor="accent1"/>
                <w:sz w:val="28"/>
                <w:szCs w:val="24"/>
                <w:lang w:eastAsia="en-IN"/>
              </w:rPr>
              <w:t>7,14,910.76</w:t>
            </w:r>
          </w:p>
        </w:tc>
      </w:tr>
    </w:tbl>
    <w:p>
      <w:pPr>
        <w:pStyle w:val="Normal"/>
        <w:jc w:val="both"/>
        <w:rPr>
          <w:b/>
          <w:b/>
          <w:color w:val="833C0B" w:themeColor="accent2" w:themeShade="80"/>
          <w:sz w:val="24"/>
          <w:lang w:val="en-US"/>
        </w:rPr>
      </w:pPr>
      <w:r>
        <w:rPr>
          <w:b/>
          <w:color w:val="833C0B" w:themeColor="accent2" w:themeShade="80"/>
          <w:sz w:val="24"/>
          <w:lang w:val="en-US"/>
        </w:rPr>
      </w:r>
    </w:p>
    <w:p>
      <w:pPr>
        <w:pStyle w:val="Normal"/>
        <w:jc w:val="both"/>
        <w:rPr>
          <w:lang w:val="en-US"/>
        </w:rPr>
      </w:pPr>
      <w:r>
        <w:rPr>
          <w:lang w:val="en-US"/>
        </w:rPr>
        <w:t xml:space="preserve">   </w:t>
      </w:r>
      <w:r>
        <w:rPr>
          <w:lang w:val="en-US"/>
        </w:rPr>
        <w:drawing>
          <wp:inline distT="0" distB="0" distL="0" distR="0">
            <wp:extent cx="4543425" cy="2743200"/>
            <wp:effectExtent l="0" t="0" r="0" b="0"/>
            <wp:docPr id="3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lang w:val="en-US"/>
        </w:rPr>
        <w:drawing>
          <wp:inline distT="0" distB="0" distL="0" distR="0">
            <wp:extent cx="4714875" cy="3152775"/>
            <wp:effectExtent l="0" t="0" r="0" b="0"/>
            <wp:docPr id="3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r>
    </w:p>
    <w:p>
      <w:pPr>
        <w:pStyle w:val="Normal"/>
        <w:jc w:val="both"/>
        <w:rPr>
          <w:b/>
          <w:b/>
          <w:sz w:val="32"/>
          <w:lang w:val="en-US"/>
        </w:rPr>
      </w:pPr>
      <w:r>
        <w:rPr>
          <w:b/>
          <w:sz w:val="32"/>
          <w:lang w:val="en-US"/>
        </w:rPr>
        <w:t>9. Management Board 2018</w:t>
      </w:r>
    </w:p>
    <w:p>
      <w:pPr>
        <w:pStyle w:val="Normal"/>
        <w:jc w:val="both"/>
        <w:rPr>
          <w:b/>
          <w:b/>
          <w:sz w:val="28"/>
          <w:lang w:val="en-US"/>
        </w:rPr>
      </w:pPr>
      <w:r>
        <w:rPr>
          <w:b/>
          <w:sz w:val="28"/>
          <w:lang w:val="en-US"/>
        </w:rPr>
        <w:t xml:space="preserve">President </w:t>
      </w:r>
    </w:p>
    <w:p>
      <w:pPr>
        <w:pStyle w:val="Normal"/>
        <w:jc w:val="both"/>
        <w:rPr>
          <w:sz w:val="24"/>
          <w:lang w:val="en-US"/>
        </w:rPr>
      </w:pPr>
      <w:r>
        <w:rPr>
          <w:sz w:val="24"/>
          <w:lang w:val="en-US"/>
        </w:rPr>
        <w:t>Mr. Thinlay Gyamtsho, M/s TNK Construction Pvt Ltd</w:t>
      </w:r>
    </w:p>
    <w:p>
      <w:pPr>
        <w:pStyle w:val="Normal"/>
        <w:jc w:val="both"/>
        <w:rPr>
          <w:b/>
          <w:b/>
          <w:sz w:val="28"/>
          <w:lang w:val="en-US"/>
        </w:rPr>
      </w:pPr>
      <w:r>
        <w:rPr>
          <w:b/>
          <w:sz w:val="28"/>
          <w:lang w:val="en-US"/>
        </w:rPr>
        <w:t>Vice President (Technical)</w:t>
      </w:r>
    </w:p>
    <w:p>
      <w:pPr>
        <w:pStyle w:val="Normal"/>
        <w:jc w:val="both"/>
        <w:rPr>
          <w:sz w:val="24"/>
          <w:lang w:val="en-US"/>
        </w:rPr>
      </w:pPr>
      <w:r>
        <w:rPr>
          <w:sz w:val="24"/>
          <w:lang w:val="en-US"/>
        </w:rPr>
        <w:t>Mr. Ugyen Penjor, M/s KABAB Construction Pvt Ltd</w:t>
      </w:r>
    </w:p>
    <w:p>
      <w:pPr>
        <w:pStyle w:val="Normal"/>
        <w:jc w:val="both"/>
        <w:rPr>
          <w:b/>
          <w:b/>
          <w:sz w:val="28"/>
          <w:lang w:val="en-US"/>
        </w:rPr>
      </w:pPr>
      <w:r>
        <w:rPr>
          <w:b/>
          <w:sz w:val="28"/>
          <w:lang w:val="en-US"/>
        </w:rPr>
        <w:t>Vice President (Financial)</w:t>
      </w:r>
    </w:p>
    <w:p>
      <w:pPr>
        <w:pStyle w:val="Normal"/>
        <w:jc w:val="both"/>
        <w:rPr>
          <w:sz w:val="24"/>
          <w:lang w:val="en-US"/>
        </w:rPr>
      </w:pPr>
      <w:r>
        <w:rPr>
          <w:sz w:val="24"/>
          <w:lang w:val="en-US"/>
        </w:rPr>
        <w:t>Mr. Tshering Yonten, M/s Chogyal Construction</w:t>
      </w:r>
    </w:p>
    <w:p>
      <w:pPr>
        <w:pStyle w:val="Normal"/>
        <w:jc w:val="both"/>
        <w:rPr>
          <w:b/>
          <w:b/>
          <w:sz w:val="28"/>
          <w:lang w:val="en-US"/>
        </w:rPr>
      </w:pPr>
      <w:r>
        <w:rPr>
          <w:b/>
          <w:sz w:val="28"/>
          <w:lang w:val="en-US"/>
        </w:rPr>
        <w:t>Executive Committee Members</w:t>
      </w:r>
    </w:p>
    <w:p>
      <w:pPr>
        <w:pStyle w:val="Normal"/>
        <w:jc w:val="both"/>
        <w:rPr>
          <w:sz w:val="24"/>
          <w:lang w:val="en-US"/>
        </w:rPr>
      </w:pPr>
      <w:r>
        <w:rPr>
          <w:sz w:val="24"/>
          <w:lang w:val="en-US"/>
        </w:rPr>
        <w:t>1. Mr. Kezang Choejoe, M/s KC Construction Pvt Ltd.</w:t>
      </w:r>
    </w:p>
    <w:p>
      <w:pPr>
        <w:pStyle w:val="Normal"/>
        <w:jc w:val="both"/>
        <w:rPr>
          <w:sz w:val="24"/>
          <w:lang w:val="en-US"/>
        </w:rPr>
      </w:pPr>
      <w:r>
        <w:rPr>
          <w:sz w:val="24"/>
          <w:lang w:val="en-US"/>
        </w:rPr>
        <w:t>2. Mr. Karma Wangchuk, M/s KW Construction Pvt Ltd.</w:t>
      </w:r>
    </w:p>
    <w:p>
      <w:pPr>
        <w:pStyle w:val="Normal"/>
        <w:jc w:val="both"/>
        <w:rPr>
          <w:sz w:val="24"/>
          <w:lang w:val="en-US"/>
        </w:rPr>
      </w:pPr>
      <w:r>
        <w:rPr>
          <w:sz w:val="24"/>
          <w:lang w:val="en-US"/>
        </w:rPr>
        <w:t>3. Mr. Karma G Wangchuk, M/s K.Gangri Construction Pvt Ltd.</w:t>
      </w:r>
    </w:p>
    <w:p>
      <w:pPr>
        <w:pStyle w:val="Normal"/>
        <w:jc w:val="both"/>
        <w:rPr>
          <w:sz w:val="24"/>
          <w:lang w:val="en-US"/>
        </w:rPr>
      </w:pPr>
      <w:r>
        <w:rPr>
          <w:sz w:val="24"/>
          <w:lang w:val="en-US"/>
        </w:rPr>
        <w:t>4. Mr. Neten Wangdi, M/s Neten Construction Pvt Ltd.</w:t>
      </w:r>
    </w:p>
    <w:p>
      <w:pPr>
        <w:pStyle w:val="Normal"/>
        <w:jc w:val="both"/>
        <w:rPr>
          <w:sz w:val="24"/>
          <w:lang w:val="en-US"/>
        </w:rPr>
      </w:pPr>
      <w:r>
        <w:rPr>
          <w:sz w:val="24"/>
          <w:lang w:val="en-US"/>
        </w:rPr>
        <w:t xml:space="preserve">5. Mr. Dawa Norbu, M/s Druk Wangyel Construction </w:t>
      </w:r>
    </w:p>
    <w:p>
      <w:pPr>
        <w:pStyle w:val="Normal"/>
        <w:jc w:val="both"/>
        <w:rPr>
          <w:sz w:val="24"/>
          <w:lang w:val="en-US"/>
        </w:rPr>
      </w:pPr>
      <w:r>
        <w:rPr>
          <w:sz w:val="24"/>
          <w:lang w:val="en-US"/>
        </w:rPr>
        <w:t>6. Mr. Rinchen Daba, M/s R.D Construction</w:t>
      </w:r>
    </w:p>
    <w:p>
      <w:pPr>
        <w:pStyle w:val="Normal"/>
        <w:jc w:val="both"/>
        <w:rPr>
          <w:sz w:val="24"/>
          <w:lang w:val="en-US"/>
        </w:rPr>
      </w:pPr>
      <w:r>
        <w:rPr>
          <w:sz w:val="24"/>
          <w:lang w:val="en-US"/>
        </w:rPr>
        <w:t>7. Mr. Pema Tenzin, M/s Druk Phuensum Construction</w:t>
      </w:r>
    </w:p>
    <w:p>
      <w:pPr>
        <w:pStyle w:val="Normal"/>
        <w:jc w:val="both"/>
        <w:rPr>
          <w:sz w:val="24"/>
          <w:lang w:val="en-US"/>
        </w:rPr>
      </w:pPr>
      <w:r>
        <w:rPr>
          <w:sz w:val="24"/>
          <w:lang w:val="en-US"/>
        </w:rPr>
        <w:t>8. Mr. Dorji, M/s Druk Yusel Construction</w:t>
      </w:r>
    </w:p>
    <w:p>
      <w:pPr>
        <w:pStyle w:val="Normal"/>
        <w:jc w:val="both"/>
        <w:rPr>
          <w:sz w:val="24"/>
          <w:lang w:val="en-US"/>
        </w:rPr>
      </w:pPr>
      <w:r>
        <w:rPr>
          <w:sz w:val="24"/>
          <w:lang w:val="en-US"/>
        </w:rPr>
        <w:t>9. Mr. Tshering Drukpa, M/s Karma Construction</w:t>
      </w:r>
    </w:p>
    <w:p>
      <w:pPr>
        <w:pStyle w:val="Normal"/>
        <w:jc w:val="both"/>
        <w:rPr>
          <w:sz w:val="24"/>
          <w:lang w:val="en-US"/>
        </w:rPr>
      </w:pPr>
      <w:r>
        <w:rPr>
          <w:sz w:val="24"/>
          <w:lang w:val="en-US"/>
        </w:rPr>
        <w:t>10. Mr. Passang Dorji, M/s Sangzam Construction</w:t>
      </w:r>
    </w:p>
    <w:p>
      <w:pPr>
        <w:pStyle w:val="Normal"/>
        <w:jc w:val="both"/>
        <w:rPr>
          <w:sz w:val="24"/>
          <w:lang w:val="en-US"/>
        </w:rPr>
      </w:pPr>
      <w:r>
        <w:rPr>
          <w:sz w:val="24"/>
          <w:lang w:val="en-US"/>
        </w:rPr>
        <w:t>11. Mr. Ugyan Tshering, M/s UJK Construction</w:t>
      </w:r>
    </w:p>
    <w:p>
      <w:pPr>
        <w:pStyle w:val="Normal"/>
        <w:jc w:val="both"/>
        <w:rPr>
          <w:sz w:val="24"/>
          <w:lang w:val="en-US"/>
        </w:rPr>
      </w:pPr>
      <w:r>
        <w:rPr>
          <w:sz w:val="24"/>
          <w:lang w:val="en-US"/>
        </w:rPr>
        <w:t>12. Mr. Ugyen Samdrup, M/s Dzamlha Construction</w:t>
      </w:r>
    </w:p>
    <w:p>
      <w:pPr>
        <w:pStyle w:val="Normal"/>
        <w:jc w:val="both"/>
        <w:rPr>
          <w:sz w:val="24"/>
          <w:lang w:val="en-US"/>
        </w:rPr>
      </w:pPr>
      <w:r>
        <w:rPr>
          <w:sz w:val="24"/>
          <w:lang w:val="en-US"/>
        </w:rPr>
      </w:r>
    </w:p>
    <w:p>
      <w:pPr>
        <w:pStyle w:val="Normal"/>
        <w:jc w:val="both"/>
        <w:rPr>
          <w:b/>
          <w:b/>
          <w:sz w:val="28"/>
          <w:lang w:val="en-US"/>
        </w:rPr>
      </w:pPr>
      <w:r>
        <w:rPr>
          <w:b/>
          <w:sz w:val="28"/>
          <w:lang w:val="en-US"/>
        </w:rPr>
        <w:t>Dzongkhag Liaison Committee</w:t>
      </w:r>
    </w:p>
    <w:p>
      <w:pPr>
        <w:pStyle w:val="Normal"/>
        <w:jc w:val="both"/>
        <w:rPr>
          <w:sz w:val="24"/>
          <w:lang w:val="en-US"/>
        </w:rPr>
      </w:pPr>
      <w:r>
        <w:rPr>
          <w:sz w:val="24"/>
          <w:lang w:val="en-US"/>
        </w:rPr>
        <w:t>1. Mr. Ugyen Dorji, M/s Uee Dee Construction, Bumthang</w:t>
        <w:tab/>
      </w:r>
    </w:p>
    <w:p>
      <w:pPr>
        <w:pStyle w:val="Normal"/>
        <w:jc w:val="both"/>
        <w:rPr>
          <w:sz w:val="24"/>
          <w:lang w:val="en-US"/>
        </w:rPr>
      </w:pPr>
      <w:r>
        <w:rPr>
          <w:sz w:val="24"/>
          <w:lang w:val="en-US"/>
        </w:rPr>
        <w:t>2. Mr. Damcho, M/s Tshering Construction, Chukha</w:t>
        <w:tab/>
      </w:r>
    </w:p>
    <w:p>
      <w:pPr>
        <w:pStyle w:val="Normal"/>
        <w:jc w:val="both"/>
        <w:rPr>
          <w:sz w:val="24"/>
          <w:lang w:val="en-US"/>
        </w:rPr>
      </w:pPr>
      <w:r>
        <w:rPr>
          <w:sz w:val="24"/>
          <w:lang w:val="en-US"/>
        </w:rPr>
        <w:t>3. Mr. Karishna Bdr Katwai, M/s Divya Construction, Dagana</w:t>
        <w:tab/>
      </w:r>
    </w:p>
    <w:p>
      <w:pPr>
        <w:pStyle w:val="Normal"/>
        <w:jc w:val="both"/>
        <w:rPr>
          <w:sz w:val="24"/>
          <w:lang w:val="en-US"/>
        </w:rPr>
      </w:pPr>
      <w:r>
        <w:rPr>
          <w:sz w:val="24"/>
          <w:lang w:val="en-US"/>
        </w:rPr>
        <w:t>4. Mr. Sangay, M/s Sangay Construction, Haa</w:t>
      </w:r>
    </w:p>
    <w:p>
      <w:pPr>
        <w:pStyle w:val="Normal"/>
        <w:jc w:val="both"/>
        <w:rPr>
          <w:sz w:val="24"/>
          <w:lang w:val="en-US"/>
        </w:rPr>
      </w:pPr>
      <w:r>
        <w:rPr>
          <w:sz w:val="24"/>
          <w:lang w:val="en-US"/>
        </w:rPr>
        <w:t>5. Mr. Karma Chophel, M/s Jigme Dorji Construction, Lhuentse</w:t>
        <w:tab/>
      </w:r>
    </w:p>
    <w:p>
      <w:pPr>
        <w:pStyle w:val="Normal"/>
        <w:jc w:val="both"/>
        <w:rPr>
          <w:sz w:val="24"/>
          <w:lang w:val="en-US"/>
        </w:rPr>
      </w:pPr>
      <w:r>
        <w:rPr>
          <w:sz w:val="24"/>
          <w:lang w:val="en-US"/>
        </w:rPr>
        <w:t>6. Mr. Dorji Leki, M/s Dorji Leki Construction, Mongar</w:t>
        <w:tab/>
      </w:r>
    </w:p>
    <w:p>
      <w:pPr>
        <w:pStyle w:val="Normal"/>
        <w:jc w:val="both"/>
        <w:rPr>
          <w:sz w:val="24"/>
          <w:lang w:val="en-US"/>
        </w:rPr>
      </w:pPr>
      <w:r>
        <w:rPr>
          <w:sz w:val="24"/>
          <w:lang w:val="en-US"/>
        </w:rPr>
        <w:t>7. Mr. Karma G. Wangchu, M/s K Gangri Construction, Paro</w:t>
        <w:tab/>
      </w:r>
    </w:p>
    <w:p>
      <w:pPr>
        <w:pStyle w:val="Normal"/>
        <w:jc w:val="both"/>
        <w:rPr>
          <w:sz w:val="24"/>
          <w:lang w:val="en-US"/>
        </w:rPr>
      </w:pPr>
      <w:r>
        <w:rPr>
          <w:sz w:val="24"/>
          <w:lang w:val="en-US"/>
        </w:rPr>
        <w:t>8. Mr. Rinchen Daba</w:t>
        <w:tab/>
        <w:t>M/s R.D Construction, Punakha</w:t>
        <w:tab/>
      </w:r>
    </w:p>
    <w:p>
      <w:pPr>
        <w:pStyle w:val="Normal"/>
        <w:jc w:val="both"/>
        <w:rPr>
          <w:sz w:val="24"/>
          <w:lang w:val="en-US"/>
        </w:rPr>
      </w:pPr>
      <w:r>
        <w:rPr>
          <w:sz w:val="24"/>
          <w:lang w:val="en-US"/>
        </w:rPr>
        <w:t>9. Mr. Sonam, M/s Bhutan Alliance Pvt Ltd, Pemagatshel</w:t>
        <w:tab/>
      </w:r>
    </w:p>
    <w:p>
      <w:pPr>
        <w:pStyle w:val="Normal"/>
        <w:jc w:val="both"/>
        <w:rPr>
          <w:sz w:val="24"/>
          <w:lang w:val="en-US"/>
        </w:rPr>
      </w:pPr>
      <w:r>
        <w:rPr>
          <w:sz w:val="24"/>
          <w:lang w:val="en-US"/>
        </w:rPr>
        <w:t>10. Mr. Singye Dorji, M/s S.K.D Construction, Samtse</w:t>
      </w:r>
    </w:p>
    <w:p>
      <w:pPr>
        <w:pStyle w:val="Normal"/>
        <w:jc w:val="both"/>
        <w:rPr>
          <w:sz w:val="24"/>
          <w:lang w:val="en-US"/>
        </w:rPr>
      </w:pPr>
      <w:r>
        <w:rPr>
          <w:sz w:val="24"/>
          <w:lang w:val="en-US"/>
        </w:rPr>
        <w:t>11. Mr. Dotila,</w:t>
        <w:tab/>
        <w:t>M/s Dotila Construction, Sarpang</w:t>
        <w:tab/>
      </w:r>
    </w:p>
    <w:p>
      <w:pPr>
        <w:pStyle w:val="Normal"/>
        <w:jc w:val="both"/>
        <w:rPr>
          <w:sz w:val="24"/>
          <w:lang w:val="en-US"/>
        </w:rPr>
      </w:pPr>
      <w:r>
        <w:rPr>
          <w:sz w:val="24"/>
          <w:lang w:val="en-US"/>
        </w:rPr>
        <w:t>12. Mr. Kezang Norbu, M/s Kuenchap Construction, Samdrupjongkhar</w:t>
        <w:tab/>
      </w:r>
    </w:p>
    <w:p>
      <w:pPr>
        <w:pStyle w:val="Normal"/>
        <w:jc w:val="both"/>
        <w:rPr>
          <w:sz w:val="24"/>
          <w:lang w:val="en-US"/>
        </w:rPr>
      </w:pPr>
      <w:r>
        <w:rPr>
          <w:sz w:val="24"/>
          <w:lang w:val="en-US"/>
        </w:rPr>
        <w:t>13. Mr. Dorji, M/s Thimphu Construction, Trashigang</w:t>
        <w:tab/>
      </w:r>
    </w:p>
    <w:p>
      <w:pPr>
        <w:pStyle w:val="Normal"/>
        <w:jc w:val="both"/>
        <w:rPr>
          <w:sz w:val="24"/>
          <w:lang w:val="en-US"/>
        </w:rPr>
      </w:pPr>
      <w:r>
        <w:rPr>
          <w:sz w:val="24"/>
          <w:lang w:val="en-US"/>
        </w:rPr>
        <w:t>14. Mr. Dawala, M/s Dawa Zangpo Construction, Trashiyangtse</w:t>
        <w:tab/>
      </w:r>
    </w:p>
    <w:p>
      <w:pPr>
        <w:pStyle w:val="Normal"/>
        <w:jc w:val="both"/>
        <w:rPr>
          <w:sz w:val="24"/>
          <w:lang w:val="en-US"/>
        </w:rPr>
      </w:pPr>
      <w:r>
        <w:rPr>
          <w:sz w:val="24"/>
          <w:lang w:val="en-US"/>
        </w:rPr>
        <w:t>15. Mr. Dawa Norbu, M/s Druk Wangyel Construction, Trongsa</w:t>
        <w:tab/>
      </w:r>
    </w:p>
    <w:p>
      <w:pPr>
        <w:pStyle w:val="Normal"/>
        <w:jc w:val="both"/>
        <w:rPr>
          <w:sz w:val="24"/>
          <w:lang w:val="en-US"/>
        </w:rPr>
      </w:pPr>
      <w:r>
        <w:rPr>
          <w:sz w:val="24"/>
          <w:lang w:val="en-US"/>
        </w:rPr>
        <w:t>16. Mr. Tshering Dukpa, M/s Karma Construction, Tsirang</w:t>
        <w:tab/>
      </w:r>
    </w:p>
    <w:p>
      <w:pPr>
        <w:pStyle w:val="Normal"/>
        <w:jc w:val="both"/>
        <w:rPr>
          <w:sz w:val="24"/>
          <w:lang w:val="en-US"/>
        </w:rPr>
      </w:pPr>
      <w:r>
        <w:rPr>
          <w:sz w:val="24"/>
          <w:lang w:val="en-US"/>
        </w:rPr>
        <w:t>17. Mr. Nala, M/s Nala Construction, Wangduephodrang</w:t>
        <w:tab/>
      </w:r>
    </w:p>
    <w:p>
      <w:pPr>
        <w:pStyle w:val="Normal"/>
        <w:rPr>
          <w:sz w:val="24"/>
          <w:lang w:val="en-US"/>
        </w:rPr>
      </w:pPr>
      <w:r>
        <w:rPr>
          <w:sz w:val="24"/>
          <w:lang w:val="en-US"/>
        </w:rPr>
        <w:t>18. Mr. Dechen Wangdi, M/s Sonam Rinzin Construction, Zhemgang</w:t>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rPr>
          <w:sz w:val="24"/>
          <w:lang w:val="en-US"/>
        </w:rPr>
      </w:pPr>
      <w:r>
        <w:rPr>
          <w:sz w:val="24"/>
          <w:lang w:val="en-US"/>
        </w:rPr>
      </w:r>
    </w:p>
    <w:p>
      <w:pPr>
        <w:pStyle w:val="Normal"/>
        <w:jc w:val="center"/>
        <w:rPr>
          <w:sz w:val="24"/>
          <w:lang w:val="en-US"/>
        </w:rPr>
      </w:pPr>
      <w:r>
        <w:rPr>
          <w:sz w:val="24"/>
          <w:lang w:val="en-US"/>
        </w:rPr>
      </w:r>
    </w:p>
    <w:p>
      <w:pPr>
        <w:pStyle w:val="Normal"/>
        <w:jc w:val="center"/>
        <w:rPr>
          <w:sz w:val="24"/>
          <w:lang w:val="en-US"/>
        </w:rPr>
      </w:pPr>
      <w:r>
        <w:rPr>
          <w:sz w:val="24"/>
          <w:lang w:val="en-US"/>
        </w:rPr>
      </w:r>
    </w:p>
    <w:p>
      <w:pPr>
        <w:pStyle w:val="Normal"/>
        <w:jc w:val="center"/>
        <w:rPr>
          <w:sz w:val="24"/>
          <w:lang w:val="en-US"/>
        </w:rPr>
      </w:pPr>
      <w:r>
        <w:rPr>
          <w:sz w:val="24"/>
          <w:lang w:val="en-US"/>
        </w:rPr>
      </w:r>
    </w:p>
    <w:p>
      <w:pPr>
        <w:pStyle w:val="Normal"/>
        <w:jc w:val="center"/>
        <w:rPr>
          <w:sz w:val="24"/>
          <w:lang w:val="en-US"/>
        </w:rPr>
      </w:pPr>
      <w:r>
        <w:rPr>
          <w:sz w:val="24"/>
          <w:lang w:val="en-US"/>
        </w:rPr>
      </w:r>
    </w:p>
    <w:p>
      <w:pPr>
        <w:pStyle w:val="Normal"/>
        <w:jc w:val="center"/>
        <w:rPr>
          <w:sz w:val="24"/>
          <w:lang w:val="en-US"/>
        </w:rPr>
      </w:pPr>
      <w:bookmarkStart w:id="1" w:name="_GoBack"/>
      <w:bookmarkStart w:id="2" w:name="_GoBack"/>
      <w:bookmarkEnd w:id="2"/>
      <w:r>
        <w:rPr>
          <w:sz w:val="24"/>
          <w:lang w:val="en-US"/>
        </w:rPr>
      </w:r>
    </w:p>
    <w:p>
      <w:pPr>
        <w:pStyle w:val="Normal"/>
        <w:jc w:val="center"/>
        <w:rPr>
          <w:sz w:val="24"/>
          <w:lang w:val="en-US"/>
        </w:rPr>
      </w:pPr>
      <w:r>
        <w:rPr>
          <w:sz w:val="24"/>
          <w:lang w:val="en-US"/>
        </w:rPr>
      </w:r>
    </w:p>
    <w:p>
      <w:pPr>
        <w:pStyle w:val="Normal"/>
        <w:jc w:val="center"/>
        <w:rPr>
          <w:sz w:val="24"/>
          <w:lang w:val="en-US"/>
        </w:rPr>
      </w:pPr>
      <w:r>
        <w:rPr>
          <w:sz w:val="24"/>
          <w:lang w:val="en-US"/>
        </w:rPr>
      </w:r>
    </w:p>
    <w:p>
      <w:pPr>
        <w:pStyle w:val="Normal"/>
        <w:jc w:val="center"/>
        <w:rPr>
          <w:sz w:val="24"/>
          <w:lang w:val="en-US"/>
        </w:rPr>
      </w:pPr>
      <w:r>
        <w:rPr>
          <w:sz w:val="24"/>
          <w:lang w:val="en-US"/>
        </w:rPr>
      </w:r>
    </w:p>
    <w:p>
      <w:pPr>
        <w:pStyle w:val="Normal"/>
        <w:spacing w:before="0" w:after="160"/>
        <w:jc w:val="center"/>
        <w:rPr/>
      </w:pPr>
      <w:r>
        <w:rPr>
          <w:rFonts w:ascii="Algerian" w:hAnsi="Algerian"/>
          <w:b/>
          <w:color w:val="2E74B5" w:themeColor="accent5" w:themeShade="bf"/>
          <w:sz w:val="72"/>
          <w:lang w:val="en-US"/>
        </w:rPr>
        <w:t>TASHI DELEK</w:t>
      </w:r>
    </w:p>
    <w:sectPr>
      <w:headerReference w:type="default" r:id="rId27"/>
      <w:footerReference w:type="default" r:id="rId28"/>
      <w:type w:val="nextPage"/>
      <w:pgSz w:w="11906" w:h="16838"/>
      <w:pgMar w:left="1440" w:right="1440" w:header="708" w:top="1440" w:footer="708"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Calibri Light">
    <w:charset w:val="01"/>
    <w:family w:val="roman"/>
    <w:pitch w:val="variable"/>
  </w:font>
  <w:font w:name="Bookman Old Style">
    <w:charset w:val="01"/>
    <w:family w:val="roman"/>
    <w:pitch w:val="variable"/>
  </w:font>
  <w:font w:name="Algerian">
    <w:altName w:val="comic"/>
    <w:charset w:val="01"/>
    <w:family w:val="roman"/>
    <w:pitch w:val="variable"/>
  </w:font>
  <w:font w:name="Wingdings">
    <w:charset w:val="02"/>
    <w:family w:val="auto"/>
    <w:pitch w:val="default"/>
  </w:font>
  <w:font w:name="Courier New">
    <w:charset w:val="01"/>
    <w:family w:val="modern"/>
    <w:pitch w:val="fixed"/>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27710372"/>
    </w:sdtPr>
    <w:sdtContent>
      <w:p>
        <w:pPr>
          <w:pStyle w:val="Footer"/>
          <w:rPr/>
        </w:pPr>
        <w:r>
          <w:rPr/>
          <w:t xml:space="preserve">Page | </w:t>
        </w:r>
        <w:r>
          <w:rPr/>
          <w:fldChar w:fldCharType="begin"/>
        </w:r>
        <w:r>
          <w:instrText> PAGE </w:instrText>
        </w:r>
        <w:r>
          <w:fldChar w:fldCharType="separate"/>
        </w:r>
        <w:r>
          <w:t>1</w:t>
        </w:r>
        <w:r>
          <w:fldChar w:fldCharType="end"/>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16319972"/>
    </w:sdtPr>
    <w:sdtContent>
      <w:p>
        <w:pPr>
          <w:pStyle w:val="Footer"/>
          <w:rPr/>
        </w:pPr>
        <w:r>
          <w:rPr/>
          <w:t xml:space="preserve">Page | </w:t>
        </w:r>
        <w:r>
          <w:rPr/>
          <w:fldChar w:fldCharType="begin"/>
        </w:r>
        <w:r>
          <w:instrText> PAGE </w:instrText>
        </w:r>
        <w:r>
          <w:fldChar w:fldCharType="separate"/>
        </w:r>
        <w:r>
          <w:t>21</w:t>
        </w:r>
        <w: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right"/>
      <w:tblInd w:w="0" w:type="dxa"/>
      <w:tblBorders/>
      <w:tblCellMar>
        <w:top w:w="115" w:type="dxa"/>
        <w:left w:w="115" w:type="dxa"/>
        <w:bottom w:w="115" w:type="dxa"/>
        <w:right w:w="115" w:type="dxa"/>
      </w:tblCellMar>
      <w:tblLook w:val="04a0" w:noVBand="1" w:noHBand="0" w:firstRow="1" w:lastRow="0" w:firstColumn="1" w:lastColumn="0"/>
    </w:tblPr>
    <w:tblGrid>
      <w:gridCol w:w="866"/>
      <w:gridCol w:w="8493"/>
    </w:tblGrid>
    <w:tr>
      <w:trPr/>
      <w:tc>
        <w:tcPr>
          <w:tcW w:w="866" w:type="dxa"/>
          <w:tcBorders/>
          <w:shd w:color="auto" w:fill="ED7D31" w:themeFill="accent2" w:val="clear"/>
          <w:vAlign w:val="center"/>
        </w:tcPr>
        <w:p>
          <w:pPr>
            <w:pStyle w:val="Header"/>
            <w:rPr>
              <w:caps/>
              <w:color w:val="FFFFFF" w:themeColor="background1"/>
            </w:rPr>
          </w:pPr>
          <w:r>
            <w:rPr>
              <w:caps/>
              <w:color w:val="FFFFFF" w:themeColor="background1"/>
            </w:rPr>
          </w:r>
        </w:p>
      </w:tc>
      <w:tc>
        <w:tcPr>
          <w:tcW w:w="8493" w:type="dxa"/>
          <w:tcBorders/>
          <w:shd w:color="auto" w:fill="ED7D31" w:themeFill="accent2" w:val="clear"/>
          <w:vAlign w:val="center"/>
        </w:tcPr>
        <w:p>
          <w:pPr>
            <w:pStyle w:val="Header"/>
            <w:jc w:val="right"/>
            <w:rPr>
              <w:caps/>
              <w:color w:val="FFFFFF" w:themeColor="background1"/>
            </w:rPr>
          </w:pPr>
          <w:r>
            <w:rPr>
              <w:caps/>
              <w:color w:val="FFFFFF" w:themeColor="background1"/>
            </w:rPr>
            <w:t xml:space="preserve"> </w:t>
          </w:r>
          <w:sdt>
            <w:sdtPr>
              <w:text/>
              <w:dataBinding w:prefixMappings="xmlns:ns0='http://purl.org/dc/elements/1.1/' xmlns:ns1='http://schemas.openxmlformats.org/package/2006/metadata/core-properties' " w:xpath="/ns1:coreProperties[1]/ns0:title[1]" w:storeItemID="{6C3C8BC8-F283-45AE-878A-BAB7291924A1}"/>
              <w:alias w:val="Title"/>
            </w:sdtPr>
            <w:sdtContent>
              <w:r>
                <w:rPr>
                  <w:caps/>
                  <w:color w:val="FFFFFF" w:themeColor="background1"/>
                </w:rPr>
                <w:t>ANNUAL REPORT 2018</w:t>
              </w:r>
            </w:sdtContent>
          </w:sdt>
        </w:p>
      </w:tc>
    </w:tr>
  </w:tbl>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I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IN"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324b1"/>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IN" w:eastAsia="en-US" w:bidi="ar-SA"/>
    </w:rPr>
  </w:style>
  <w:style w:type="character" w:styleId="DefaultParagraphFont" w:default="1">
    <w:name w:val="Default Paragraph Font"/>
    <w:uiPriority w:val="1"/>
    <w:semiHidden/>
    <w:unhideWhenUsed/>
    <w:qFormat/>
    <w:rPr/>
  </w:style>
  <w:style w:type="character" w:styleId="SubtleEmphasis">
    <w:name w:val="Subtle Emphasis"/>
    <w:basedOn w:val="DefaultParagraphFont"/>
    <w:uiPriority w:val="19"/>
    <w:qFormat/>
    <w:rsid w:val="005324b1"/>
    <w:rPr>
      <w:i/>
      <w:iCs/>
      <w:color w:val="808080" w:themeColor="text1" w:themeTint="7f"/>
    </w:rPr>
  </w:style>
  <w:style w:type="character" w:styleId="NoSpacingChar" w:customStyle="1">
    <w:name w:val="No Spacing Char"/>
    <w:basedOn w:val="DefaultParagraphFont"/>
    <w:link w:val="NoSpacing"/>
    <w:uiPriority w:val="1"/>
    <w:qFormat/>
    <w:rsid w:val="005324b1"/>
    <w:rPr>
      <w:rFonts w:eastAsia="" w:eastAsiaTheme="minorEastAsia"/>
      <w:lang w:val="en-US"/>
    </w:rPr>
  </w:style>
  <w:style w:type="character" w:styleId="HeaderChar" w:customStyle="1">
    <w:name w:val="Header Char"/>
    <w:basedOn w:val="DefaultParagraphFont"/>
    <w:link w:val="Header"/>
    <w:uiPriority w:val="99"/>
    <w:qFormat/>
    <w:rsid w:val="000e2808"/>
    <w:rPr/>
  </w:style>
  <w:style w:type="character" w:styleId="FooterChar" w:customStyle="1">
    <w:name w:val="Footer Char"/>
    <w:basedOn w:val="DefaultParagraphFont"/>
    <w:link w:val="Footer"/>
    <w:uiPriority w:val="99"/>
    <w:qFormat/>
    <w:rsid w:val="000e2808"/>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5324b1"/>
    <w:pPr>
      <w:spacing w:lineRule="auto" w:line="276" w:before="0" w:after="200"/>
      <w:ind w:left="720" w:hanging="0"/>
      <w:contextualSpacing/>
    </w:pPr>
    <w:rPr/>
  </w:style>
  <w:style w:type="paragraph" w:styleId="NoSpacing">
    <w:name w:val="No Spacing"/>
    <w:link w:val="NoSpacingChar"/>
    <w:uiPriority w:val="1"/>
    <w:qFormat/>
    <w:rsid w:val="005324b1"/>
    <w:pPr>
      <w:widowControl/>
      <w:bidi w:val="0"/>
      <w:spacing w:lineRule="auto" w:line="240" w:before="0" w:after="0"/>
      <w:jc w:val="left"/>
    </w:pPr>
    <w:rPr>
      <w:rFonts w:eastAsia="" w:eastAsiaTheme="minorEastAsia" w:ascii="Calibri" w:hAnsi="Calibri" w:cs=""/>
      <w:color w:val="auto"/>
      <w:sz w:val="22"/>
      <w:szCs w:val="22"/>
      <w:lang w:val="en-US" w:eastAsia="en-US" w:bidi="ar-SA"/>
    </w:rPr>
  </w:style>
  <w:style w:type="paragraph" w:styleId="Caption1">
    <w:name w:val="caption"/>
    <w:basedOn w:val="Normal"/>
    <w:next w:val="Normal"/>
    <w:uiPriority w:val="35"/>
    <w:unhideWhenUsed/>
    <w:qFormat/>
    <w:rsid w:val="005324b1"/>
    <w:pPr>
      <w:spacing w:lineRule="auto" w:line="240" w:before="0" w:after="200"/>
    </w:pPr>
    <w:rPr>
      <w:i/>
      <w:iCs/>
      <w:color w:val="44546A" w:themeColor="text2"/>
      <w:sz w:val="18"/>
      <w:szCs w:val="18"/>
    </w:rPr>
  </w:style>
  <w:style w:type="paragraph" w:styleId="Header">
    <w:name w:val="Header"/>
    <w:basedOn w:val="Normal"/>
    <w:link w:val="HeaderChar"/>
    <w:uiPriority w:val="99"/>
    <w:unhideWhenUsed/>
    <w:rsid w:val="000e2808"/>
    <w:pPr>
      <w:tabs>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0e2808"/>
    <w:pPr>
      <w:tabs>
        <w:tab w:val="center" w:pos="4513" w:leader="none"/>
        <w:tab w:val="right" w:pos="9026" w:leader="none"/>
      </w:tabs>
      <w:spacing w:lineRule="auto" w:line="240" w:before="0" w:after="0"/>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PlainTable2">
    <w:name w:val="Plain Table 2"/>
    <w:basedOn w:val="TableNormal"/>
    <w:uiPriority w:val="42"/>
    <w:rsid w:val="005324b1"/>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wmf"/><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image" Target="media/image21.jpeg"/><Relationship Id="rId25" Type="http://schemas.openxmlformats.org/officeDocument/2006/relationships/chart" Target="charts/chart1.xml"/><Relationship Id="rId26" Type="http://schemas.openxmlformats.org/officeDocument/2006/relationships/chart" Target="charts/chart2.xml"/><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glossaryDocument" Target="glossary/document.xml"/><Relationship Id="rId34"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600" spc="-1" strike="noStrike">
                <a:solidFill>
                  <a:srgbClr val="c55a11"/>
                </a:solidFill>
                <a:uFill>
                  <a:solidFill>
                    <a:srgbClr val="ffffff"/>
                  </a:solidFill>
                </a:uFill>
                <a:latin typeface="Calibri"/>
              </a:defRPr>
            </a:pPr>
            <a:r>
              <a:rPr b="1" sz="1600" spc="-1" strike="noStrike">
                <a:solidFill>
                  <a:srgbClr val="c55a11"/>
                </a:solidFill>
                <a:uFill>
                  <a:solidFill>
                    <a:srgbClr val="ffffff"/>
                  </a:solidFill>
                </a:uFill>
                <a:latin typeface="Calibri"/>
              </a:rPr>
              <a:t>2018 OPERATIONS REVENUE </a:t>
            </a:r>
          </a:p>
        </c:rich>
      </c:tx>
      <c:overlay val="0"/>
    </c:title>
    <c:autoTitleDeleted val="0"/>
    <c:view3D>
      <c:rotX val="60"/>
      <c:rotY val="130"/>
      <c:rAngAx val="0"/>
      <c:perspective val="3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Sales</c:v>
                </c:pt>
              </c:strCache>
            </c:strRef>
          </c:tx>
          <c:spPr>
            <a:solidFill>
              <a:srgbClr val="4472c4"/>
            </a:solidFill>
            <a:ln>
              <a:noFill/>
            </a:ln>
          </c:spPr>
          <c:explosion val="0"/>
          <c:dPt>
            <c:idx val="0"/>
            <c:spPr>
              <a:solidFill>
                <a:srgbClr val="b3bedf"/>
              </a:solidFill>
              <a:ln>
                <a:noFill/>
              </a:ln>
            </c:spPr>
          </c:dPt>
          <c:dPt>
            <c:idx val="1"/>
            <c:spPr>
              <a:solidFill>
                <a:srgbClr val="7991cd"/>
              </a:solidFill>
              <a:ln>
                <a:noFill/>
              </a:ln>
            </c:spPr>
          </c:dPt>
          <c:dPt>
            <c:idx val="2"/>
            <c:spPr>
              <a:solidFill>
                <a:srgbClr val="3f6ab7"/>
              </a:solidFill>
              <a:ln>
                <a:noFill/>
              </a:ln>
            </c:spPr>
          </c:dPt>
          <c:dPt>
            <c:idx val="3"/>
            <c:spPr>
              <a:solidFill>
                <a:srgbClr val="35599a"/>
              </a:solidFill>
              <a:ln>
                <a:noFill/>
              </a:ln>
            </c:spPr>
          </c:dPt>
          <c:dLbls>
            <c:dLbl>
              <c:idx val="0"/>
              <c:dLblPos val="bestFit"/>
              <c:showLegendKey val="0"/>
              <c:showVal val="1"/>
              <c:showCatName val="1"/>
              <c:showSerName val="0"/>
              <c:showPercent val="0"/>
            </c:dLbl>
            <c:dLbl>
              <c:idx val="1"/>
              <c:dLblPos val="bestFit"/>
              <c:showLegendKey val="0"/>
              <c:showVal val="1"/>
              <c:showCatName val="1"/>
              <c:showSerName val="0"/>
              <c:showPercent val="0"/>
            </c:dLbl>
            <c:dLbl>
              <c:idx val="2"/>
              <c:dLblPos val="outEnd"/>
              <c:showLegendKey val="0"/>
              <c:showVal val="1"/>
              <c:showCatName val="1"/>
              <c:showSerName val="0"/>
              <c:showPercent val="0"/>
            </c:dLbl>
            <c:dLbl>
              <c:idx val="3"/>
              <c:dLblPos val="outEnd"/>
              <c:showLegendKey val="0"/>
              <c:showVal val="1"/>
              <c:showCatName val="1"/>
              <c:showSerName val="0"/>
              <c:showPercent val="0"/>
            </c:dLbl>
            <c:dLblPos val="outEnd"/>
            <c:showLegendKey val="0"/>
            <c:showVal val="1"/>
            <c:showCatName val="1"/>
            <c:showSerName val="0"/>
            <c:showPercent val="0"/>
            <c:showLeaderLines val="0"/>
          </c:dLbls>
          <c:cat>
            <c:strRef>
              <c:f>categories</c:f>
              <c:strCache>
                <c:ptCount val="4"/>
                <c:pt idx="0">
                  <c:v>1st Qtr</c:v>
                </c:pt>
                <c:pt idx="1">
                  <c:v>2nd Qtr</c:v>
                </c:pt>
                <c:pt idx="2">
                  <c:v>3rd Qtr</c:v>
                </c:pt>
                <c:pt idx="3">
                  <c:v>4th Qtr</c:v>
                </c:pt>
              </c:strCache>
            </c:strRef>
          </c:cat>
          <c:val>
            <c:numRef>
              <c:f>0</c:f>
              <c:numCache>
                <c:formatCode>General</c:formatCode>
                <c:ptCount val="4"/>
                <c:pt idx="0">
                  <c:v>3644474.37</c:v>
                </c:pt>
                <c:pt idx="1">
                  <c:v>1855401</c:v>
                </c:pt>
                <c:pt idx="2">
                  <c:v/>
                </c:pt>
                <c:pt idx="3">
                  <c:v/>
                </c:pt>
              </c:numCache>
            </c:numRef>
          </c:val>
        </c:ser>
      </c:pie3DChart>
      <c:spPr>
        <a:solidFill>
          <a:srgbClr val="d9d9d9"/>
        </a:solidFill>
        <a:ln>
          <a:noFill/>
        </a:ln>
      </c:spPr>
    </c:plotArea>
    <c:plotVisOnly val="1"/>
    <c:dispBlanksAs val="gap"/>
  </c:chart>
  <c:spPr>
    <a:noFill/>
    <a:ln w="936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600" spc="-1" strike="noStrike">
                <a:solidFill>
                  <a:srgbClr val="c55a11"/>
                </a:solidFill>
                <a:uFill>
                  <a:solidFill>
                    <a:srgbClr val="ffffff"/>
                  </a:solidFill>
                </a:uFill>
                <a:latin typeface="Calibri"/>
              </a:defRPr>
            </a:pPr>
            <a:r>
              <a:rPr b="1" sz="1600" spc="-1" strike="noStrike">
                <a:solidFill>
                  <a:srgbClr val="c55a11"/>
                </a:solidFill>
                <a:uFill>
                  <a:solidFill>
                    <a:srgbClr val="ffffff"/>
                  </a:solidFill>
                </a:uFill>
                <a:latin typeface="Calibri"/>
              </a:rPr>
              <a:t>2018 OPERATIONS EXPENSES</a:t>
            </a:r>
          </a:p>
        </c:rich>
      </c:tx>
      <c:overlay val="0"/>
    </c:title>
    <c:autoTitleDeleted val="0"/>
    <c:view3D>
      <c:rotX val="60"/>
      <c:rotY val="310"/>
      <c:rAngAx val="0"/>
      <c:perspective val="3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Sales</c:v>
                </c:pt>
              </c:strCache>
            </c:strRef>
          </c:tx>
          <c:spPr>
            <a:solidFill>
              <a:srgbClr val="4472c4"/>
            </a:solidFill>
            <a:ln>
              <a:noFill/>
            </a:ln>
          </c:spPr>
          <c:explosion val="0"/>
          <c:dPt>
            <c:idx val="0"/>
            <c:spPr>
              <a:solidFill>
                <a:srgbClr val="2f5597"/>
              </a:solidFill>
              <a:ln>
                <a:noFill/>
              </a:ln>
            </c:spPr>
          </c:dPt>
          <c:dPt>
            <c:idx val="1"/>
            <c:spPr>
              <a:ln>
                <a:noFill/>
              </a:ln>
            </c:spPr>
          </c:dPt>
          <c:dPt>
            <c:idx val="2"/>
            <c:spPr>
              <a:ln>
                <a:noFill/>
              </a:ln>
            </c:spPr>
          </c:dPt>
          <c:dPt>
            <c:idx val="3"/>
            <c:spPr>
              <a:ln>
                <a:noFill/>
              </a:ln>
            </c:spPr>
          </c:dPt>
          <c:dLbls>
            <c:dLbl>
              <c:idx val="0"/>
              <c:dLblPos val="bestFit"/>
              <c:showLegendKey val="0"/>
              <c:showVal val="0"/>
              <c:showCatName val="1"/>
              <c:showSerName val="0"/>
              <c:showPercent val="1"/>
            </c:dLbl>
            <c:dLbl>
              <c:idx val="1"/>
              <c:dLblPos val="bestFit"/>
              <c:showLegendKey val="0"/>
              <c:showVal val="0"/>
              <c:showCatName val="1"/>
              <c:showSerName val="0"/>
              <c:showPercent val="1"/>
            </c:dLbl>
            <c:dLbl>
              <c:idx val="2"/>
              <c:dLblPos val="bestFit"/>
              <c:showLegendKey val="0"/>
              <c:showVal val="0"/>
              <c:showCatName val="1"/>
              <c:showSerName val="0"/>
              <c:showPercent val="1"/>
            </c:dLbl>
            <c:dLbl>
              <c:idx val="3"/>
              <c:dLblPos val="bestFit"/>
              <c:showLegendKey val="0"/>
              <c:showVal val="0"/>
              <c:showCatName val="1"/>
              <c:showSerName val="0"/>
              <c:showPercent val="1"/>
            </c:dLbl>
            <c:dLblPos val="inEnd"/>
            <c:showLegendKey val="0"/>
            <c:showVal val="0"/>
            <c:showCatName val="1"/>
            <c:showSerName val="0"/>
            <c:showPercent val="1"/>
            <c:showLeaderLines val="0"/>
          </c:dLbls>
          <c:cat>
            <c:strRef>
              <c:f>categories</c:f>
              <c:strCache>
                <c:ptCount val="4"/>
                <c:pt idx="0">
                  <c:v>General &amp; Administrative</c:v>
                </c:pt>
                <c:pt idx="1">
                  <c:v>Meeting, Workshops, Networking/Liaison</c:v>
                </c:pt>
                <c:pt idx="2">
                  <c:v>Bank Interest &amp; Charges</c:v>
                </c:pt>
                <c:pt idx="3">
                  <c:v>Publication</c:v>
                </c:pt>
              </c:strCache>
            </c:strRef>
          </c:cat>
          <c:val>
            <c:numRef>
              <c:f>0</c:f>
              <c:numCache>
                <c:formatCode>General</c:formatCode>
                <c:ptCount val="4"/>
                <c:pt idx="0">
                  <c:v>4428994</c:v>
                </c:pt>
                <c:pt idx="1">
                  <c:v>306590</c:v>
                </c:pt>
                <c:pt idx="2">
                  <c:v>39380.61</c:v>
                </c:pt>
                <c:pt idx="3">
                  <c:v>10000</c:v>
                </c:pt>
              </c:numCache>
            </c:numRef>
          </c:val>
        </c:ser>
      </c:pie3DChart>
      <c:spPr>
        <a:solidFill>
          <a:srgbClr val="d9d9d9"/>
        </a:solidFill>
        <a:ln>
          <a:noFill/>
        </a:ln>
      </c:spPr>
    </c:plotArea>
    <c:legend>
      <c:legendPos val="b"/>
      <c:overlay val="0"/>
      <c:spPr>
        <a:noFill/>
        <a:ln>
          <a:noFill/>
        </a:ln>
      </c:spPr>
    </c:legend>
    <c:plotVisOnly val="1"/>
    <c:dispBlanksAs val="gap"/>
  </c:chart>
  <c:spPr>
    <a:noFill/>
    <a:ln w="9360">
      <a:noFill/>
    </a:ln>
  </c:spPr>
  <c:externalData r:id="rId1"/>
</c:chartSpace>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9A2E8F25BD9415299C834B4CD8DD753"/>
        <w:category>
          <w:name w:val="General"/>
          <w:gallery w:val="placeholder"/>
        </w:category>
        <w:types>
          <w:type w:val="bbPlcHdr"/>
        </w:types>
        <w:behaviors>
          <w:behavior w:val="content"/>
        </w:behaviors>
        <w:guid w:val="{EEDB027E-FC11-4D2E-A843-B8DF2A16D0BF}"/>
      </w:docPartPr>
      <w:docPartBody>
        <w:p w:rsidR="00000000" w:rsidRDefault="000B0FFF" w:rsidP="000B0FFF">
          <w:pPr>
            <w:pStyle w:val="99A2E8F25BD9415299C834B4CD8DD753"/>
          </w:pPr>
          <w:r>
            <w:rPr>
              <w:rFonts w:asciiTheme="majorHAnsi" w:eastAsiaTheme="majorEastAsia" w:hAnsiTheme="majorHAnsi" w:cstheme="majorBidi"/>
              <w:caps/>
              <w:color w:val="4472C4" w:themeColor="accent1"/>
              <w:sz w:val="80"/>
              <w:szCs w:val="80"/>
            </w:rPr>
            <w:t>[Document title]</w:t>
          </w:r>
        </w:p>
      </w:docPartBody>
    </w:docPart>
    <w:docPart>
      <w:docPartPr>
        <w:name w:val="2D791CD1571246419BEBDE0DBE954E71"/>
        <w:category>
          <w:name w:val="General"/>
          <w:gallery w:val="placeholder"/>
        </w:category>
        <w:types>
          <w:type w:val="bbPlcHdr"/>
        </w:types>
        <w:behaviors>
          <w:behavior w:val="content"/>
        </w:behaviors>
        <w:guid w:val="{D66D1179-47E5-41D8-BCC5-8EF141503E7D}"/>
      </w:docPartPr>
      <w:docPartBody>
        <w:p w:rsidR="00000000" w:rsidRDefault="000B0FFF" w:rsidP="000B0FFF">
          <w:pPr>
            <w:pStyle w:val="2D791CD1571246419BEBDE0DBE954E71"/>
          </w:pPr>
          <w:r>
            <w:rPr>
              <w:color w:val="4472C4" w:themeColor="accent1"/>
              <w:sz w:val="28"/>
              <w:szCs w:val="28"/>
            </w:rPr>
            <w:t>[Document subtitle]</w:t>
          </w:r>
        </w:p>
      </w:docPartBody>
    </w:docPart>
    <w:docPart>
      <w:docPartPr>
        <w:name w:val="5532A6E68C8E46F1951F06E71117A902"/>
        <w:category>
          <w:name w:val="General"/>
          <w:gallery w:val="placeholder"/>
        </w:category>
        <w:types>
          <w:type w:val="bbPlcHdr"/>
        </w:types>
        <w:behaviors>
          <w:behavior w:val="content"/>
        </w:behaviors>
        <w:guid w:val="{070FD3C2-B4F6-4AC0-A12D-83EC0ECD8246}"/>
      </w:docPartPr>
      <w:docPartBody>
        <w:p w:rsidR="00000000" w:rsidRDefault="000B0FFF" w:rsidP="000B0FFF">
          <w:pPr>
            <w:pStyle w:val="5532A6E68C8E46F1951F06E71117A902"/>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FFF"/>
    <w:rsid w:val="000B0FFF"/>
    <w:rsid w:val="005468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A2E8F25BD9415299C834B4CD8DD753">
    <w:name w:val="99A2E8F25BD9415299C834B4CD8DD753"/>
    <w:rsid w:val="000B0FFF"/>
  </w:style>
  <w:style w:type="paragraph" w:customStyle="1" w:styleId="2D791CD1571246419BEBDE0DBE954E71">
    <w:name w:val="2D791CD1571246419BEBDE0DBE954E71"/>
    <w:rsid w:val="000B0FFF"/>
  </w:style>
  <w:style w:type="paragraph" w:customStyle="1" w:styleId="5532A6E68C8E46F1951F06E71117A902">
    <w:name w:val="5532A6E68C8E46F1951F06E71117A902"/>
    <w:rsid w:val="000B0F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CoverPageProperties xmlns="http://schemas.microsoft.com/office/2006/coverPageProps">
  <PublishDate>2019-01-01T00:00:00</PublishDate>
  <Abstract/>
  <CompanyAddress>Thimphu</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Application>LibreOffice/5.1.6.2$Linux_X86_64 LibreOffice_project/10m0$Build-2</Application>
  <Pages>23</Pages>
  <Words>5401</Words>
  <CharactersWithSpaces>30790</CharactersWithSpaces>
  <Paragraphs>72</Paragraphs>
  <Company>construction association of bhutan (CAB)</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2019-05-30T05:39:00Z</dcterms:created>
  <dc:creator>user</dc:creator>
  <dc:description/>
  <dc:language>en-IN</dc:language>
  <cp:lastModifiedBy>user</cp:lastModifiedBy>
  <dcterms:modified xsi:type="dcterms:W3CDTF">2019-05-30T05:48:00Z</dcterms:modified>
  <cp:revision>4</cp:revision>
  <dc:subject>Construction Association of Bhutan (CAB)</dc:subject>
  <dc:title>ANNUAL REPORT 2018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construction association of bhutan (CAB)</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